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Layout w:type="autofit"/>
        <w:tblCellMar>
          <w:top w:w="0" w:type="dxa"/>
          <w:left w:w="0" w:type="dxa"/>
          <w:bottom w:w="0" w:type="dxa"/>
          <w:right w:w="0" w:type="dxa"/>
        </w:tblCellMar>
      </w:tblPr>
      <w:tblGrid>
        <w:gridCol w:w="509"/>
        <w:gridCol w:w="8855"/>
      </w:tblGrid>
      <w:tr w14:paraId="4D73C6DA">
        <w:tblPrEx>
          <w:tblCellMar>
            <w:top w:w="0" w:type="dxa"/>
            <w:left w:w="0" w:type="dxa"/>
            <w:bottom w:w="0" w:type="dxa"/>
            <w:right w:w="0" w:type="dxa"/>
          </w:tblCellMar>
        </w:tblPrEx>
        <w:tc>
          <w:tcPr>
            <w:tcW w:w="509" w:type="dxa"/>
          </w:tcPr>
          <w:p w14:paraId="2D78833C">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6D765FD">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13.020.40</w:t>
            </w:r>
            <w:r>
              <w:rPr>
                <w:rFonts w:ascii="黑体" w:hAnsi="黑体" w:eastAsia="黑体"/>
                <w:sz w:val="21"/>
                <w:szCs w:val="21"/>
              </w:rPr>
              <w:fldChar w:fldCharType="end"/>
            </w:r>
            <w:bookmarkEnd w:id="0"/>
          </w:p>
        </w:tc>
      </w:tr>
      <w:tr w14:paraId="68427FC6">
        <w:tblPrEx>
          <w:tblCellMar>
            <w:top w:w="0" w:type="dxa"/>
            <w:left w:w="0" w:type="dxa"/>
            <w:bottom w:w="0" w:type="dxa"/>
            <w:right w:w="0" w:type="dxa"/>
          </w:tblCellMar>
        </w:tblPrEx>
        <w:tc>
          <w:tcPr>
            <w:tcW w:w="509" w:type="dxa"/>
          </w:tcPr>
          <w:p w14:paraId="3C91439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38FD53">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 05</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46D3E5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397E2B4">
            <w:pPr>
              <w:pStyle w:val="52"/>
              <w:framePr w:w="0" w:hRule="auto" w:wrap="auto" w:vAnchor="margin" w:hAnchor="text" w:xAlign="left" w:yAlign="inline"/>
              <w:rPr>
                <w:rFonts w:ascii="宋体" w:hAnsi="宋体"/>
                <w:sz w:val="28"/>
                <w:szCs w:val="28"/>
              </w:rPr>
            </w:pPr>
            <w:bookmarkStart w:id="2" w:name="_Hlk26473981"/>
            <w:r>
              <w:t>DB</w:t>
            </w:r>
            <w:r>
              <w:fldChar w:fldCharType="begin">
                <w:ffData>
                  <w:name w:val="c1"/>
                  <w:enabled/>
                  <w:calcOnExit w:val="0"/>
                  <w:textInput>
                    <w:maxLength w:val="8"/>
                  </w:textInput>
                </w:ffData>
              </w:fldChar>
            </w:r>
            <w:bookmarkStart w:id="3" w:name="c1"/>
            <w:r>
              <w:instrText xml:space="preserve"> FORMTEXT </w:instrText>
            </w:r>
            <w:r>
              <w:fldChar w:fldCharType="separate"/>
            </w:r>
            <w:r>
              <w:t>42</w:t>
            </w:r>
            <w:r>
              <w:fldChar w:fldCharType="end"/>
            </w:r>
            <w:bookmarkEnd w:id="3"/>
          </w:p>
        </w:tc>
      </w:tr>
    </w:tbl>
    <w:p w14:paraId="4006D1C6">
      <w:pPr>
        <w:pStyle w:val="5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E7144AC">
      <w:pPr>
        <w:pStyle w:val="198"/>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int="eastAsia"/>
          <w:lang w:val="en-US" w:eastAsia="zh-CN"/>
        </w:rPr>
        <w:t>.2</w:t>
      </w:r>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XXXX</w:t>
      </w:r>
      <w:r>
        <w:fldChar w:fldCharType="end"/>
      </w:r>
      <w:bookmarkEnd w:id="7"/>
    </w:p>
    <w:p w14:paraId="5478F911">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230F897">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46CC5D7">
      <w:pPr>
        <w:pStyle w:val="53"/>
        <w:framePr w:w="9639" w:h="6976" w:hRule="exact" w:hSpace="0" w:vSpace="0" w:hAnchor="page" w:y="6408"/>
        <w:jc w:val="center"/>
        <w:rPr>
          <w:rFonts w:ascii="黑体" w:hAnsi="黑体" w:eastAsia="黑体"/>
          <w:b w:val="0"/>
          <w:bCs w:val="0"/>
          <w:w w:val="100"/>
        </w:rPr>
      </w:pPr>
    </w:p>
    <w:p w14:paraId="3F2DD408">
      <w:pPr>
        <w:pStyle w:val="200"/>
        <w:framePr w:h="6974" w:hRule="exact" w:wrap="around" w:x="1419" w:anchorLock="1"/>
      </w:pPr>
      <w:bookmarkStart w:id="9" w:name="CSTD_NAME"/>
      <w:r>
        <w:rPr>
          <w:rFonts w:ascii="黑体" w:hAnsi="黑体" w:eastAsia="黑体" w:cs="Times New Roman"/>
          <w:bCs/>
          <w:sz w:val="52"/>
          <w:lang w:val="en-US" w:eastAsia="zh-CN" w:bidi="ar-SA"/>
        </w:rPr>
        <w:fldChar w:fldCharType="begin">
          <w:ffData>
            <w:name w:val="CSTD_NAME"/>
            <w:enabled/>
            <w:calcOnExit w:val="0"/>
            <w:textInput>
              <w:default w:val="生态环境监测安全管理技术规范 &#13;&#10;第2部分：现场监测"/>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 xml:space="preserve">生态环境监测安全管理技术规范 </w:t>
      </w:r>
      <w:r>
        <w:rPr>
          <w:rFonts w:ascii="黑体" w:hAnsi="黑体" w:eastAsia="黑体" w:cs="Times New Roman"/>
          <w:bCs/>
          <w:sz w:val="52"/>
          <w:lang w:val="en-US" w:eastAsia="zh-CN" w:bidi="ar-SA"/>
        </w:rPr>
        <w:cr/>
      </w:r>
      <w:r>
        <w:rPr>
          <w:rFonts w:ascii="黑体" w:hAnsi="黑体" w:eastAsia="黑体" w:cs="Times New Roman"/>
          <w:bCs/>
          <w:sz w:val="52"/>
          <w:lang w:val="en-US" w:eastAsia="zh-CN" w:bidi="ar-SA"/>
        </w:rPr>
        <w:t>
第2部分：现场监测</w:t>
      </w:r>
      <w:r>
        <w:rPr>
          <w:rFonts w:ascii="黑体" w:hAnsi="黑体" w:eastAsia="黑体" w:cs="Times New Roman"/>
          <w:bCs/>
          <w:sz w:val="52"/>
          <w:lang w:val="en-US" w:eastAsia="zh-CN" w:bidi="ar-SA"/>
        </w:rPr>
        <w:fldChar w:fldCharType="end"/>
      </w:r>
      <w:bookmarkEnd w:id="9"/>
    </w:p>
    <w:p w14:paraId="5C350C51">
      <w:pPr>
        <w:framePr w:w="9639" w:h="6974" w:hRule="exact" w:wrap="around" w:vAnchor="page" w:hAnchor="page" w:x="1419" w:y="6408" w:anchorLock="1"/>
        <w:ind w:left="-1418"/>
      </w:pPr>
    </w:p>
    <w:p w14:paraId="2AFE969E">
      <w:pPr>
        <w:pStyle w:val="129"/>
        <w:framePr w:w="9639" w:h="6974" w:hRule="exact" w:wrap="around" w:vAnchor="page" w:hAnchor="page" w:x="1419" w:y="6408" w:anchorLock="1"/>
        <w:textAlignment w:val="bottom"/>
        <w:rPr>
          <w:rFonts w:ascii="黑体" w:hAnsi="黑体" w:eastAsia="黑体"/>
          <w:szCs w:val="28"/>
        </w:rPr>
      </w:pPr>
      <w:bookmarkStart w:id="10" w:name="ESTD_NAME"/>
      <w:r>
        <w:rPr>
          <w:rFonts w:ascii="黑体" w:hAnsi="黑体" w:eastAsia="黑体" w:cs="Times New Roman"/>
          <w:sz w:val="28"/>
          <w:szCs w:val="28"/>
          <w:lang w:val="en-US" w:eastAsia="zh-CN" w:bidi="ar-SA"/>
        </w:rPr>
        <w:fldChar w:fldCharType="begin">
          <w:ffData>
            <w:name w:val="ESTD_NAME"/>
            <w:enabled/>
            <w:calcOnExit w:val="0"/>
            <w:textInput>
              <w:default w:val="Technical Specification for Safety Management of Ecological Environment Monitoring &#13;&#10;Part 2： On-site monitoring"/>
            </w:textInput>
          </w:ffData>
        </w:fldChar>
      </w:r>
      <w:r>
        <w:rPr>
          <w:rFonts w:ascii="黑体" w:hAnsi="黑体" w:eastAsia="黑体" w:cs="Times New Roman"/>
          <w:sz w:val="28"/>
          <w:szCs w:val="28"/>
          <w:lang w:val="en-US" w:eastAsia="zh-CN" w:bidi="ar-SA"/>
        </w:rPr>
        <w:instrText xml:space="preserve">FORMTEXT</w:instrText>
      </w:r>
      <w:r>
        <w:rPr>
          <w:rFonts w:ascii="黑体" w:hAnsi="黑体" w:eastAsia="黑体" w:cs="Times New Roman"/>
          <w:sz w:val="28"/>
          <w:szCs w:val="28"/>
          <w:lang w:val="en-US" w:eastAsia="zh-CN" w:bidi="ar-SA"/>
        </w:rPr>
        <w:fldChar w:fldCharType="separate"/>
      </w:r>
      <w:r>
        <w:rPr>
          <w:rFonts w:ascii="黑体" w:hAnsi="黑体" w:eastAsia="黑体" w:cs="Times New Roman"/>
          <w:sz w:val="28"/>
          <w:szCs w:val="28"/>
          <w:lang w:val="en-US" w:eastAsia="zh-CN" w:bidi="ar-SA"/>
        </w:rPr>
        <w:t xml:space="preserve">Technical Specification for Safety Management of Ecological Environment Monitoring </w:t>
      </w:r>
      <w:r>
        <w:rPr>
          <w:rFonts w:ascii="黑体" w:hAnsi="黑体" w:eastAsia="黑体" w:cs="Times New Roman"/>
          <w:sz w:val="28"/>
          <w:szCs w:val="28"/>
          <w:lang w:val="en-US" w:eastAsia="zh-CN" w:bidi="ar-SA"/>
        </w:rPr>
        <w:cr/>
      </w:r>
      <w:r>
        <w:rPr>
          <w:rFonts w:ascii="黑体" w:hAnsi="黑体" w:eastAsia="黑体" w:cs="Times New Roman"/>
          <w:sz w:val="28"/>
          <w:szCs w:val="28"/>
          <w:lang w:val="en-US" w:eastAsia="zh-CN" w:bidi="ar-SA"/>
        </w:rPr>
        <w:t>
Part 2： On-site monitoring</w:t>
      </w:r>
      <w:r>
        <w:rPr>
          <w:rFonts w:ascii="黑体" w:hAnsi="黑体" w:eastAsia="黑体" w:cs="Times New Roman"/>
          <w:sz w:val="28"/>
          <w:szCs w:val="28"/>
          <w:lang w:val="en-US" w:eastAsia="zh-CN" w:bidi="ar-SA"/>
        </w:rPr>
        <w:fldChar w:fldCharType="end"/>
      </w:r>
      <w:bookmarkEnd w:id="10"/>
    </w:p>
    <w:p w14:paraId="23536E04">
      <w:pPr>
        <w:framePr w:w="9639" w:h="6974" w:hRule="exact" w:wrap="around" w:vAnchor="page" w:hAnchor="page" w:x="1419" w:y="6408" w:anchorLock="1"/>
        <w:spacing w:line="760" w:lineRule="exact"/>
        <w:ind w:left="-1418"/>
      </w:pPr>
    </w:p>
    <w:p w14:paraId="242880C2">
      <w:pPr>
        <w:pStyle w:val="129"/>
        <w:framePr w:w="9639" w:h="6974" w:hRule="exact" w:wrap="around" w:vAnchor="page" w:hAnchor="page" w:x="1419" w:y="6408" w:anchorLock="1"/>
        <w:textAlignment w:val="bottom"/>
        <w:rPr>
          <w:rFonts w:hint="eastAsia" w:eastAsia="黑体"/>
          <w:szCs w:val="28"/>
          <w:lang w:eastAsia="zh-CN"/>
        </w:rPr>
      </w:pPr>
      <w:r>
        <w:rPr>
          <w:rFonts w:hint="eastAsia" w:eastAsia="黑体"/>
          <w:szCs w:val="28"/>
          <w:lang w:eastAsia="zh-CN"/>
        </w:rPr>
        <w:t>（</w:t>
      </w:r>
      <w:r>
        <w:rPr>
          <w:rFonts w:hint="eastAsia" w:eastAsia="黑体"/>
          <w:szCs w:val="28"/>
          <w:lang w:val="en-US" w:eastAsia="zh-CN"/>
        </w:rPr>
        <w:t>征求意见稿</w:t>
      </w:r>
      <w:r>
        <w:rPr>
          <w:rFonts w:hint="eastAsia" w:eastAsia="黑体"/>
          <w:szCs w:val="28"/>
          <w:lang w:eastAsia="zh-CN"/>
        </w:rPr>
        <w:t>）</w:t>
      </w:r>
    </w:p>
    <w:p w14:paraId="6730927D">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652F976">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89814CF">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0D3F497">
      <w:pPr>
        <w:pStyle w:val="196"/>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433AB78">
      <w:pPr>
        <w:pStyle w:val="197"/>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tbl>
      <w:tblPr>
        <w:tblStyle w:val="28"/>
        <w:tblpPr w:leftFromText="180" w:rightFromText="180" w:vertAnchor="text" w:tblpXSpec="center" w:tblpY="14424"/>
        <w:tblOverlap w:val="never"/>
        <w:tblW w:w="0" w:type="auto"/>
        <w:tblInd w:w="0" w:type="dxa"/>
        <w:tblLayout w:type="fixed"/>
        <w:tblCellMar>
          <w:top w:w="0" w:type="dxa"/>
          <w:left w:w="108" w:type="dxa"/>
          <w:bottom w:w="0" w:type="dxa"/>
          <w:right w:w="108" w:type="dxa"/>
        </w:tblCellMar>
      </w:tblPr>
      <w:tblGrid>
        <w:gridCol w:w="4939"/>
        <w:gridCol w:w="2291"/>
      </w:tblGrid>
      <w:tr w14:paraId="1D510EE8">
        <w:tblPrEx>
          <w:tblCellMar>
            <w:top w:w="0" w:type="dxa"/>
            <w:left w:w="108" w:type="dxa"/>
            <w:bottom w:w="0" w:type="dxa"/>
            <w:right w:w="108" w:type="dxa"/>
          </w:tblCellMar>
        </w:tblPrEx>
        <w:tc>
          <w:tcPr>
            <w:tcW w:w="4939" w:type="dxa"/>
            <w:tcBorders>
              <w:top w:val="nil"/>
              <w:left w:val="nil"/>
              <w:bottom w:val="nil"/>
              <w:right w:val="nil"/>
            </w:tcBorders>
          </w:tcPr>
          <w:p w14:paraId="4775F702">
            <w:pPr>
              <w:spacing w:line="0" w:lineRule="atLeast"/>
              <w:jc w:val="distribute"/>
              <w:rPr>
                <w:rFonts w:ascii="Times New Roman" w:hAnsi="Times New Roman" w:eastAsia="黑体"/>
                <w:spacing w:val="20"/>
                <w:kern w:val="0"/>
                <w:sz w:val="28"/>
                <w:szCs w:val="28"/>
              </w:rPr>
            </w:pPr>
            <w:bookmarkStart w:id="20" w:name="fm"/>
            <w:bookmarkEnd w:id="20"/>
            <w:r>
              <w:rPr>
                <w:rFonts w:ascii="黑体" w:hAnsi="黑体" w:eastAsia="黑体"/>
                <w:spacing w:val="20"/>
                <w:kern w:val="0"/>
                <w:sz w:val="28"/>
                <w:szCs w:val="28"/>
              </w:rPr>
              <w:t>湖北省生态环境厅</w:t>
            </w:r>
          </w:p>
        </w:tc>
        <w:tc>
          <w:tcPr>
            <w:tcW w:w="2291" w:type="dxa"/>
            <w:vMerge w:val="restart"/>
            <w:tcBorders>
              <w:top w:val="nil"/>
              <w:left w:val="nil"/>
              <w:bottom w:val="nil"/>
              <w:right w:val="nil"/>
            </w:tcBorders>
            <w:vAlign w:val="center"/>
          </w:tcPr>
          <w:p w14:paraId="564CE35E">
            <w:pPr>
              <w:spacing w:line="0" w:lineRule="atLeast"/>
              <w:jc w:val="center"/>
              <w:rPr>
                <w:rFonts w:ascii="Times New Roman" w:hAnsi="Times New Roman" w:eastAsia="黑体"/>
                <w:kern w:val="0"/>
                <w:sz w:val="28"/>
                <w:szCs w:val="28"/>
              </w:rPr>
            </w:pPr>
            <w:r>
              <w:rPr>
                <w:rFonts w:hint="eastAsia" w:ascii="黑体" w:hAnsi="黑体" w:eastAsia="黑体"/>
                <w:kern w:val="0"/>
                <w:sz w:val="28"/>
                <w:szCs w:val="28"/>
              </w:rPr>
              <w:t>联合发布</w:t>
            </w:r>
          </w:p>
        </w:tc>
      </w:tr>
      <w:tr w14:paraId="19B0E0CB">
        <w:tblPrEx>
          <w:tblCellMar>
            <w:top w:w="0" w:type="dxa"/>
            <w:left w:w="108" w:type="dxa"/>
            <w:bottom w:w="0" w:type="dxa"/>
            <w:right w:w="108" w:type="dxa"/>
          </w:tblCellMar>
        </w:tblPrEx>
        <w:trPr>
          <w:trHeight w:val="90" w:hRule="atLeast"/>
        </w:trPr>
        <w:tc>
          <w:tcPr>
            <w:tcW w:w="4939" w:type="dxa"/>
            <w:tcBorders>
              <w:top w:val="nil"/>
              <w:left w:val="nil"/>
              <w:bottom w:val="nil"/>
              <w:right w:val="nil"/>
            </w:tcBorders>
          </w:tcPr>
          <w:p w14:paraId="463993B7">
            <w:pPr>
              <w:spacing w:line="0" w:lineRule="atLeast"/>
              <w:ind w:left="-15" w:leftChars="-7" w:firstLine="15"/>
              <w:jc w:val="distribute"/>
              <w:rPr>
                <w:rFonts w:ascii="Times New Roman" w:hAnsi="Times New Roman" w:eastAsia="黑体"/>
                <w:spacing w:val="20"/>
                <w:kern w:val="0"/>
                <w:sz w:val="28"/>
                <w:szCs w:val="28"/>
              </w:rPr>
            </w:pPr>
            <w:r>
              <w:rPr>
                <w:rFonts w:ascii="黑体" w:hAnsi="黑体" w:eastAsia="黑体"/>
                <w:spacing w:val="20"/>
                <w:kern w:val="0"/>
                <w:sz w:val="28"/>
                <w:szCs w:val="28"/>
              </w:rPr>
              <w:t>湖北省市场监督管理局</w:t>
            </w:r>
            <w:r>
              <w:rPr>
                <w:rFonts w:ascii="Times New Roman" w:hAnsi="Times New Roman" w:eastAsia="黑体"/>
                <w:spacing w:val="20"/>
                <w:kern w:val="0"/>
                <w:sz w:val="28"/>
                <w:szCs w:val="28"/>
              </w:rPr>
              <w:t xml:space="preserve"> </w:t>
            </w:r>
          </w:p>
        </w:tc>
        <w:tc>
          <w:tcPr>
            <w:tcW w:w="2291" w:type="dxa"/>
            <w:vMerge w:val="continue"/>
            <w:tcBorders>
              <w:top w:val="nil"/>
              <w:left w:val="nil"/>
              <w:bottom w:val="nil"/>
              <w:right w:val="nil"/>
            </w:tcBorders>
            <w:vAlign w:val="center"/>
          </w:tcPr>
          <w:p w14:paraId="6B5F69B4">
            <w:pPr>
              <w:widowControl/>
              <w:adjustRightInd/>
              <w:spacing w:line="240" w:lineRule="auto"/>
              <w:jc w:val="left"/>
              <w:rPr>
                <w:rFonts w:ascii="Times New Roman" w:hAnsi="Times New Roman" w:eastAsia="黑体"/>
                <w:kern w:val="0"/>
                <w:sz w:val="28"/>
                <w:szCs w:val="28"/>
              </w:rPr>
            </w:pPr>
          </w:p>
        </w:tc>
      </w:tr>
    </w:tbl>
    <w:p w14:paraId="7276CE9C">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4FEECA3">
      <w:pPr>
        <w:pStyle w:val="95"/>
        <w:spacing w:after="468"/>
        <w:rPr>
          <w:rFonts w:hint="eastAsia"/>
        </w:rPr>
      </w:pPr>
      <w:bookmarkStart w:id="21" w:name="BookMark1"/>
      <w:r>
        <w:rPr>
          <w:rFonts w:hint="eastAsia"/>
          <w:spacing w:val="320"/>
        </w:rPr>
        <w:t>目</w:t>
      </w:r>
      <w:r>
        <w:rPr>
          <w:rFonts w:hint="eastAsia"/>
        </w:rPr>
        <w:t>次</w:t>
      </w:r>
    </w:p>
    <w:p w14:paraId="4FB5AF95">
      <w:pPr>
        <w:pStyle w:val="20"/>
        <w:tabs>
          <w:tab w:val="right" w:leader="dot" w:pos="9344"/>
        </w:tabs>
      </w:pPr>
      <w:r>
        <w:fldChar w:fldCharType="begin"/>
      </w:r>
      <w:r>
        <w:instrText xml:space="preserve"> TOC \o "1-1" \h </w:instrText>
      </w:r>
      <w:r>
        <w:fldChar w:fldCharType="separate"/>
      </w:r>
      <w:r>
        <w:fldChar w:fldCharType="begin"/>
      </w:r>
      <w:r>
        <w:instrText xml:space="preserve"> HYPERLINK \l "_Toc181087354" </w:instrText>
      </w:r>
      <w:r>
        <w:fldChar w:fldCharType="separate"/>
      </w:r>
      <w:r>
        <w:rPr>
          <w:rStyle w:val="34"/>
        </w:rPr>
        <w:t>前言</w:t>
      </w:r>
      <w:r>
        <w:tab/>
      </w:r>
      <w:r>
        <w:fldChar w:fldCharType="begin"/>
      </w:r>
      <w:r>
        <w:instrText xml:space="preserve"> PAGEREF _Toc181087354 \h </w:instrText>
      </w:r>
      <w:r>
        <w:fldChar w:fldCharType="separate"/>
      </w:r>
      <w:r>
        <w:t>I</w:t>
      </w:r>
      <w:r>
        <w:fldChar w:fldCharType="end"/>
      </w:r>
      <w:r>
        <w:fldChar w:fldCharType="end"/>
      </w:r>
    </w:p>
    <w:p w14:paraId="6015327B">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"_Toc181087355" </w:instrText>
      </w:r>
      <w:r>
        <w:fldChar w:fldCharType="separate"/>
      </w:r>
      <w:r>
        <w:rPr>
          <w:rStyle w:val="34"/>
        </w:rPr>
        <w:t xml:space="preserve">1  </w:t>
      </w:r>
      <w:r>
        <w:rPr>
          <w:rStyle w:val="34"/>
          <w:rFonts w:hint="eastAsia"/>
          <w:lang w:val="en-US" w:eastAsia="zh-CN"/>
        </w:rPr>
        <w:t xml:space="preserve"> </w:t>
      </w:r>
      <w:r>
        <w:rPr>
          <w:rStyle w:val="34"/>
        </w:rPr>
        <w:t>范围</w:t>
      </w:r>
      <w:r>
        <w:tab/>
      </w:r>
      <w:r>
        <w:fldChar w:fldCharType="begin"/>
      </w:r>
      <w:r>
        <w:instrText xml:space="preserve"> PAGEREF _Toc181087355 \h </w:instrText>
      </w:r>
      <w:r>
        <w:fldChar w:fldCharType="separate"/>
      </w:r>
      <w:r>
        <w:t>1</w:t>
      </w:r>
      <w:r>
        <w:fldChar w:fldCharType="end"/>
      </w:r>
      <w:r>
        <w:fldChar w:fldCharType="end"/>
      </w:r>
    </w:p>
    <w:p w14:paraId="1F41C8A3">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"_Toc181087356" </w:instrText>
      </w:r>
      <w:r>
        <w:fldChar w:fldCharType="separate"/>
      </w:r>
      <w:r>
        <w:rPr>
          <w:rStyle w:val="34"/>
        </w:rPr>
        <w:t xml:space="preserve">2 </w:t>
      </w:r>
      <w:r>
        <w:rPr>
          <w:rStyle w:val="34"/>
          <w:rFonts w:hint="eastAsia"/>
          <w:lang w:val="en-US" w:eastAsia="zh-CN"/>
        </w:rPr>
        <w:t xml:space="preserve"> </w:t>
      </w:r>
      <w:r>
        <w:rPr>
          <w:rStyle w:val="34"/>
        </w:rPr>
        <w:t xml:space="preserve"> 规范性引用文件</w:t>
      </w:r>
      <w:r>
        <w:tab/>
      </w:r>
      <w:r>
        <w:fldChar w:fldCharType="begin"/>
      </w:r>
      <w:r>
        <w:instrText xml:space="preserve"> PAGEREF _Toc181087356 \h </w:instrText>
      </w:r>
      <w:r>
        <w:fldChar w:fldCharType="separate"/>
      </w:r>
      <w:r>
        <w:t>1</w:t>
      </w:r>
      <w:r>
        <w:fldChar w:fldCharType="end"/>
      </w:r>
      <w:r>
        <w:fldChar w:fldCharType="end"/>
      </w:r>
    </w:p>
    <w:p w14:paraId="67290961">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"_Toc181087357" </w:instrText>
      </w:r>
      <w:r>
        <w:fldChar w:fldCharType="separate"/>
      </w:r>
      <w:r>
        <w:rPr>
          <w:rStyle w:val="34"/>
        </w:rPr>
        <w:t xml:space="preserve">3  </w:t>
      </w:r>
      <w:r>
        <w:rPr>
          <w:rStyle w:val="34"/>
          <w:rFonts w:hint="eastAsia"/>
          <w:lang w:val="en-US" w:eastAsia="zh-CN"/>
        </w:rPr>
        <w:t xml:space="preserve"> </w:t>
      </w:r>
      <w:r>
        <w:rPr>
          <w:rStyle w:val="34"/>
        </w:rPr>
        <w:t>术语和定义</w:t>
      </w:r>
      <w:r>
        <w:tab/>
      </w:r>
      <w:r>
        <w:fldChar w:fldCharType="begin"/>
      </w:r>
      <w:r>
        <w:instrText xml:space="preserve"> PAGEREF _Toc181087357 \h </w:instrText>
      </w:r>
      <w:r>
        <w:fldChar w:fldCharType="separate"/>
      </w:r>
      <w:r>
        <w:t>1</w:t>
      </w:r>
      <w:r>
        <w:fldChar w:fldCharType="end"/>
      </w:r>
      <w:r>
        <w:fldChar w:fldCharType="end"/>
      </w:r>
    </w:p>
    <w:p w14:paraId="1C0BB4E8">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"_Toc181087358" </w:instrText>
      </w:r>
      <w:r>
        <w:fldChar w:fldCharType="separate"/>
      </w:r>
      <w:r>
        <w:rPr>
          <w:rStyle w:val="34"/>
        </w:rPr>
        <w:t xml:space="preserve">4  </w:t>
      </w:r>
      <w:r>
        <w:rPr>
          <w:rStyle w:val="34"/>
          <w:rFonts w:hint="eastAsia"/>
          <w:lang w:val="en-US" w:eastAsia="zh-CN"/>
        </w:rPr>
        <w:t xml:space="preserve"> </w:t>
      </w:r>
      <w:r>
        <w:rPr>
          <w:rStyle w:val="34"/>
          <w:rFonts w:hint="eastAsia"/>
          <w:lang w:eastAsia="zh-CN"/>
        </w:rPr>
        <w:t>机构</w:t>
      </w:r>
      <w:r>
        <w:tab/>
      </w:r>
      <w:r>
        <w:rPr>
          <w:rFonts w:hint="eastAsia"/>
          <w:lang w:val="en-US" w:eastAsia="zh-CN"/>
        </w:rPr>
        <w:t>2</w:t>
      </w:r>
      <w:r>
        <w:fldChar w:fldCharType="end"/>
      </w:r>
    </w:p>
    <w:p w14:paraId="33A62D80">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"_Toc181087359" </w:instrText>
      </w:r>
      <w:r>
        <w:fldChar w:fldCharType="separate"/>
      </w:r>
      <w:r>
        <w:rPr>
          <w:rStyle w:val="34"/>
        </w:rPr>
        <w:t xml:space="preserve">5  </w:t>
      </w:r>
      <w:r>
        <w:rPr>
          <w:rStyle w:val="34"/>
          <w:rFonts w:hint="eastAsia"/>
          <w:lang w:val="en-US" w:eastAsia="zh-CN"/>
        </w:rPr>
        <w:t xml:space="preserve"> </w:t>
      </w:r>
      <w:r>
        <w:rPr>
          <w:rStyle w:val="34"/>
          <w:rFonts w:hint="eastAsia"/>
          <w:lang w:eastAsia="zh-CN"/>
        </w:rPr>
        <w:t>人员</w:t>
      </w:r>
      <w:r>
        <w:tab/>
      </w:r>
      <w:r>
        <w:rPr>
          <w:rFonts w:hint="eastAsia"/>
          <w:lang w:val="en-US" w:eastAsia="zh-CN"/>
        </w:rPr>
        <w:t>2</w:t>
      </w:r>
      <w:r>
        <w:fldChar w:fldCharType="end"/>
      </w:r>
    </w:p>
    <w:p w14:paraId="4451C544">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"_Toc181087360" </w:instrText>
      </w:r>
      <w:r>
        <w:fldChar w:fldCharType="separate"/>
      </w:r>
      <w:r>
        <w:rPr>
          <w:rStyle w:val="34"/>
        </w:rPr>
        <w:t xml:space="preserve">6 </w:t>
      </w:r>
      <w:r>
        <w:rPr>
          <w:rStyle w:val="34"/>
          <w:rFonts w:hint="eastAsia"/>
          <w:lang w:val="en-US" w:eastAsia="zh-CN"/>
        </w:rPr>
        <w:t xml:space="preserve"> </w:t>
      </w:r>
      <w:r>
        <w:rPr>
          <w:rStyle w:val="34"/>
        </w:rPr>
        <w:t xml:space="preserve"> </w:t>
      </w:r>
      <w:r>
        <w:rPr>
          <w:rStyle w:val="34"/>
          <w:rFonts w:hint="eastAsia"/>
          <w:lang w:eastAsia="zh-CN"/>
        </w:rPr>
        <w:t>场所环境</w:t>
      </w:r>
      <w:r>
        <w:tab/>
      </w:r>
      <w:r>
        <w:rPr>
          <w:rFonts w:hint="eastAsia"/>
          <w:lang w:val="en-US" w:eastAsia="zh-CN"/>
        </w:rPr>
        <w:t>2</w:t>
      </w:r>
      <w:r>
        <w:fldChar w:fldCharType="end"/>
      </w:r>
    </w:p>
    <w:p w14:paraId="3D4E82B2">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"_Toc181087361" </w:instrText>
      </w:r>
      <w:r>
        <w:fldChar w:fldCharType="separate"/>
      </w:r>
      <w:r>
        <w:rPr>
          <w:rStyle w:val="34"/>
        </w:rPr>
        <w:t xml:space="preserve">7 </w:t>
      </w:r>
      <w:r>
        <w:rPr>
          <w:rStyle w:val="34"/>
          <w:rFonts w:hint="eastAsia"/>
          <w:lang w:val="en-US" w:eastAsia="zh-CN"/>
        </w:rPr>
        <w:t xml:space="preserve">  </w:t>
      </w:r>
      <w:r>
        <w:rPr>
          <w:rStyle w:val="34"/>
          <w:rFonts w:hint="eastAsia"/>
          <w:lang w:eastAsia="zh-CN"/>
        </w:rPr>
        <w:t>设施设备</w:t>
      </w:r>
      <w:r>
        <w:tab/>
      </w:r>
      <w:r>
        <w:rPr>
          <w:rFonts w:hint="eastAsia"/>
          <w:lang w:val="en-US" w:eastAsia="zh-CN"/>
        </w:rPr>
        <w:t>3</w:t>
      </w:r>
      <w:r>
        <w:fldChar w:fldCharType="end"/>
      </w:r>
    </w:p>
    <w:p w14:paraId="3912F974">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"_Toc181087362" </w:instrText>
      </w:r>
      <w:r>
        <w:fldChar w:fldCharType="separate"/>
      </w:r>
      <w:r>
        <w:rPr>
          <w:rStyle w:val="34"/>
        </w:rPr>
        <w:t xml:space="preserve">8  </w:t>
      </w:r>
      <w:r>
        <w:rPr>
          <w:rStyle w:val="34"/>
          <w:rFonts w:hint="eastAsia"/>
          <w:lang w:val="en-US" w:eastAsia="zh-CN"/>
        </w:rPr>
        <w:t xml:space="preserve"> </w:t>
      </w:r>
      <w:r>
        <w:rPr>
          <w:rStyle w:val="34"/>
          <w:rFonts w:hint="eastAsia"/>
          <w:lang w:eastAsia="zh-CN"/>
        </w:rPr>
        <w:t>物料</w:t>
      </w:r>
      <w:r>
        <w:tab/>
      </w:r>
      <w:r>
        <w:rPr>
          <w:rFonts w:hint="eastAsia"/>
          <w:lang w:val="en-US" w:eastAsia="zh-CN"/>
        </w:rPr>
        <w:t>4</w:t>
      </w:r>
      <w:r>
        <w:fldChar w:fldCharType="end"/>
      </w:r>
    </w:p>
    <w:p w14:paraId="75A81C47">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"_Toc181087363" </w:instrText>
      </w:r>
      <w:r>
        <w:fldChar w:fldCharType="separate"/>
      </w:r>
      <w:r>
        <w:rPr>
          <w:rStyle w:val="34"/>
        </w:rPr>
        <w:t xml:space="preserve">9  </w:t>
      </w:r>
      <w:r>
        <w:rPr>
          <w:rStyle w:val="34"/>
          <w:rFonts w:hint="eastAsia"/>
          <w:lang w:val="en-US" w:eastAsia="zh-CN"/>
        </w:rPr>
        <w:t xml:space="preserve"> </w:t>
      </w:r>
      <w:r>
        <w:rPr>
          <w:rStyle w:val="34"/>
          <w:rFonts w:hint="eastAsia"/>
          <w:lang w:eastAsia="zh-CN"/>
        </w:rPr>
        <w:t>危险源辨识</w:t>
      </w:r>
      <w:r>
        <w:tab/>
      </w:r>
      <w:r>
        <w:rPr>
          <w:rFonts w:hint="eastAsia"/>
          <w:lang w:val="en-US" w:eastAsia="zh-CN"/>
        </w:rPr>
        <w:t>5</w:t>
      </w:r>
      <w:r>
        <w:fldChar w:fldCharType="end"/>
      </w:r>
    </w:p>
    <w:p w14:paraId="11F24249">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"_Toc181087363" </w:instrText>
      </w:r>
      <w:r>
        <w:fldChar w:fldCharType="separate"/>
      </w:r>
      <w:r>
        <w:rPr>
          <w:rStyle w:val="34"/>
          <w:rFonts w:hint="eastAsia"/>
          <w:lang w:val="en-US" w:eastAsia="zh-CN"/>
        </w:rPr>
        <w:t>10</w:t>
      </w:r>
      <w:r>
        <w:rPr>
          <w:rStyle w:val="34"/>
        </w:rPr>
        <w:t xml:space="preserve">  </w:t>
      </w:r>
      <w:r>
        <w:rPr>
          <w:rStyle w:val="34"/>
          <w:rFonts w:hint="eastAsia"/>
          <w:lang w:eastAsia="zh-CN"/>
        </w:rPr>
        <w:t>风险评价</w:t>
      </w:r>
      <w:r>
        <w:tab/>
      </w:r>
      <w:r>
        <w:rPr>
          <w:rFonts w:hint="eastAsia"/>
          <w:lang w:val="en-US" w:eastAsia="zh-CN"/>
        </w:rPr>
        <w:t>6</w:t>
      </w:r>
      <w:r>
        <w:fldChar w:fldCharType="end"/>
      </w:r>
    </w:p>
    <w:p w14:paraId="20A88182">
      <w:pPr>
        <w:pStyle w:val="20"/>
        <w:tabs>
          <w:tab w:val="right" w:leader="dot" w:pos="9344"/>
        </w:tabs>
        <w:rPr>
          <w:rFonts w:asciiTheme="minorHAnsi" w:hAnsiTheme="minorHAnsi" w:eastAsiaTheme="minorEastAsia" w:cstheme="minorBidi"/>
          <w:szCs w:val="22"/>
        </w:rPr>
      </w:pPr>
      <w:r>
        <w:fldChar w:fldCharType="begin"/>
      </w:r>
      <w:r>
        <w:instrText xml:space="preserve"> HYPERLINK \l "_Toc181087363" </w:instrText>
      </w:r>
      <w:r>
        <w:fldChar w:fldCharType="separate"/>
      </w:r>
      <w:r>
        <w:rPr>
          <w:rStyle w:val="34"/>
          <w:rFonts w:hint="eastAsia"/>
          <w:lang w:val="en-US" w:eastAsia="zh-CN"/>
        </w:rPr>
        <w:t>11</w:t>
      </w:r>
      <w:r>
        <w:rPr>
          <w:rStyle w:val="34"/>
        </w:rPr>
        <w:t xml:space="preserve">  </w:t>
      </w:r>
      <w:r>
        <w:rPr>
          <w:rStyle w:val="34"/>
          <w:rFonts w:hint="eastAsia"/>
          <w:lang w:eastAsia="zh-CN"/>
        </w:rPr>
        <w:t>控制措施</w:t>
      </w:r>
      <w:r>
        <w:tab/>
      </w:r>
      <w:r>
        <w:rPr>
          <w:rFonts w:hint="eastAsia"/>
          <w:lang w:val="en-US" w:eastAsia="zh-CN"/>
        </w:rPr>
        <w:t>6</w:t>
      </w:r>
      <w:r>
        <w:fldChar w:fldCharType="end"/>
      </w:r>
    </w:p>
    <w:p w14:paraId="400128C3">
      <w:pPr>
        <w:pStyle w:val="20"/>
        <w:tabs>
          <w:tab w:val="right" w:leader="dot" w:pos="9344"/>
        </w:tabs>
      </w:pPr>
      <w:r>
        <w:fldChar w:fldCharType="begin"/>
      </w:r>
      <w:r>
        <w:instrText xml:space="preserve"> HYPERLINK \l "_Toc181087363" </w:instrText>
      </w:r>
      <w:r>
        <w:fldChar w:fldCharType="separate"/>
      </w:r>
      <w:r>
        <w:rPr>
          <w:rStyle w:val="34"/>
          <w:rFonts w:hint="eastAsia"/>
          <w:lang w:val="en-US" w:eastAsia="zh-CN"/>
        </w:rPr>
        <w:t>12</w:t>
      </w:r>
      <w:r>
        <w:rPr>
          <w:rStyle w:val="34"/>
        </w:rPr>
        <w:t xml:space="preserve"> </w:t>
      </w:r>
      <w:r>
        <w:rPr>
          <w:rStyle w:val="34"/>
          <w:rFonts w:hint="eastAsia"/>
          <w:lang w:val="en-US" w:eastAsia="zh-CN"/>
        </w:rPr>
        <w:t xml:space="preserve"> </w:t>
      </w:r>
      <w:r>
        <w:rPr>
          <w:rStyle w:val="34"/>
          <w:rFonts w:hint="eastAsia"/>
          <w:lang w:eastAsia="zh-CN"/>
        </w:rPr>
        <w:t>报告与记录</w:t>
      </w:r>
      <w:r>
        <w:tab/>
      </w:r>
      <w:r>
        <w:rPr>
          <w:rFonts w:hint="eastAsia"/>
          <w:lang w:val="en-US" w:eastAsia="zh-CN"/>
        </w:rPr>
        <w:t>9</w:t>
      </w:r>
      <w:r>
        <w:fldChar w:fldCharType="end"/>
      </w:r>
    </w:p>
    <w:p w14:paraId="6F459119">
      <w:pPr>
        <w:pStyle w:val="20"/>
        <w:tabs>
          <w:tab w:val="right" w:leader="dot" w:pos="9344"/>
        </w:tabs>
        <w:rPr>
          <w:rFonts w:hint="eastAsia" w:eastAsia="宋体"/>
          <w:lang w:val="en-US" w:eastAsia="zh-CN"/>
        </w:rPr>
      </w:pPr>
      <w:r>
        <w:fldChar w:fldCharType="begin"/>
      </w:r>
      <w:r>
        <w:instrText xml:space="preserve"> HYPERLINK \l "_Toc181087363" </w:instrText>
      </w:r>
      <w:r>
        <w:fldChar w:fldCharType="separate"/>
      </w:r>
      <w:r>
        <w:rPr>
          <w:rStyle w:val="34"/>
          <w:rFonts w:hint="eastAsia"/>
          <w:lang w:val="en-US" w:eastAsia="zh-CN"/>
        </w:rPr>
        <w:t>13</w:t>
      </w:r>
      <w:r>
        <w:rPr>
          <w:rStyle w:val="34"/>
        </w:rPr>
        <w:t xml:space="preserve"> </w:t>
      </w:r>
      <w:r>
        <w:rPr>
          <w:rStyle w:val="34"/>
          <w:rFonts w:hint="eastAsia"/>
          <w:lang w:val="en-US" w:eastAsia="zh-CN"/>
        </w:rPr>
        <w:t xml:space="preserve"> 标准实施及评价</w:t>
      </w:r>
      <w:r>
        <w:tab/>
      </w:r>
      <w:r>
        <w:rPr>
          <w:rFonts w:hint="eastAsia"/>
          <w:lang w:val="en-US" w:eastAsia="zh-CN"/>
        </w:rPr>
        <w:t>1</w:t>
      </w:r>
      <w:r>
        <w:fldChar w:fldCharType="end"/>
      </w:r>
      <w:r>
        <w:rPr>
          <w:rFonts w:hint="eastAsia"/>
          <w:lang w:val="en-US" w:eastAsia="zh-CN"/>
        </w:rPr>
        <w:t>0</w:t>
      </w:r>
    </w:p>
    <w:p w14:paraId="6BC4954C">
      <w:pPr>
        <w:pStyle w:val="20"/>
        <w:tabs>
          <w:tab w:val="right" w:leader="dot" w:pos="9344"/>
        </w:tabs>
        <w:rPr>
          <w:rFonts w:hint="eastAsia"/>
          <w:lang w:val="en-US" w:eastAsia="zh-CN"/>
        </w:rPr>
      </w:pPr>
      <w:r>
        <w:fldChar w:fldCharType="begin"/>
      </w:r>
      <w:r>
        <w:instrText xml:space="preserve"> HYPERLINK \l "_Toc181087363" </w:instrText>
      </w:r>
      <w:r>
        <w:fldChar w:fldCharType="separate"/>
      </w:r>
      <w:r>
        <w:rPr>
          <w:rStyle w:val="34"/>
        </w:rPr>
        <w:t>附录</w:t>
      </w:r>
      <w:r>
        <w:rPr>
          <w:rStyle w:val="34"/>
          <w:rFonts w:hint="eastAsia"/>
          <w:lang w:val="en-US" w:eastAsia="zh-CN"/>
        </w:rPr>
        <w:t>A</w:t>
      </w:r>
      <w:r>
        <w:rPr>
          <w:rStyle w:val="34"/>
        </w:rPr>
        <w:t>（资料性）</w:t>
      </w:r>
      <w:r>
        <w:rPr>
          <w:rStyle w:val="34"/>
          <w:rFonts w:hint="eastAsia"/>
          <w:lang w:val="en-US" w:eastAsia="zh-CN"/>
        </w:rPr>
        <w:t xml:space="preserve"> </w:t>
      </w:r>
      <w:r>
        <w:rPr>
          <w:rStyle w:val="34"/>
        </w:rPr>
        <w:t>湖北省地方标准实施信息及意见反馈表</w:t>
      </w:r>
      <w:r>
        <w:tab/>
      </w:r>
      <w:r>
        <w:rPr>
          <w:rFonts w:hint="eastAsia"/>
          <w:lang w:val="en-US" w:eastAsia="zh-CN"/>
        </w:rPr>
        <w:t>1</w:t>
      </w:r>
      <w:r>
        <w:fldChar w:fldCharType="end"/>
      </w:r>
      <w:r>
        <w:rPr>
          <w:rFonts w:hint="eastAsia"/>
          <w:lang w:val="en-US" w:eastAsia="zh-CN"/>
        </w:rPr>
        <w:t>1</w:t>
      </w:r>
    </w:p>
    <w:p w14:paraId="1506556F">
      <w:pPr>
        <w:rPr>
          <w:rFonts w:hint="eastAsia"/>
          <w:lang w:val="en-US" w:eastAsia="zh-CN"/>
        </w:rPr>
      </w:pPr>
    </w:p>
    <w:p w14:paraId="56E20554">
      <w:pPr>
        <w:rPr>
          <w:rFonts w:hint="eastAsia"/>
          <w:lang w:val="en-US" w:eastAsia="zh-CN"/>
        </w:rPr>
      </w:pPr>
    </w:p>
    <w:p w14:paraId="0F173863">
      <w:pPr>
        <w:pStyle w:val="20"/>
        <w:tabs>
          <w:tab w:val="right" w:leader="dot" w:pos="9344"/>
        </w:tabs>
      </w:pPr>
    </w:p>
    <w:p w14:paraId="489B820E"/>
    <w:p w14:paraId="21EC9DCE">
      <w:pPr>
        <w:pStyle w:val="20"/>
        <w:tabs>
          <w:tab w:val="right" w:leader="dot" w:pos="9344"/>
        </w:tabs>
        <w:rPr>
          <w:rFonts w:asciiTheme="minorHAnsi" w:hAnsiTheme="minorHAnsi" w:eastAsiaTheme="minorEastAsia" w:cstheme="minorBidi"/>
          <w:szCs w:val="22"/>
        </w:rPr>
      </w:pPr>
    </w:p>
    <w:p w14:paraId="3D2325F4">
      <w:pPr>
        <w:pStyle w:val="95"/>
        <w:spacing w:after="468"/>
      </w:pPr>
      <w:r>
        <w:fldChar w:fldCharType="end"/>
      </w:r>
    </w:p>
    <w:p w14:paraId="75684016">
      <w:pPr>
        <w:widowControl/>
        <w:adjustRightInd/>
        <w:spacing w:line="240" w:lineRule="auto"/>
        <w:jc w:val="left"/>
        <w:rPr>
          <w:rFonts w:ascii="黑体" w:eastAsia="黑体"/>
          <w:sz w:val="32"/>
        </w:rPr>
      </w:pPr>
      <w:r>
        <w:br w:type="page"/>
      </w:r>
    </w:p>
    <w:p w14:paraId="5DFD65AB">
      <w:pPr>
        <w:widowControl/>
        <w:adjustRightInd/>
        <w:spacing w:line="240" w:lineRule="auto"/>
        <w:jc w:val="left"/>
        <w:rPr>
          <w:rFonts w:ascii="黑体" w:eastAsia="黑体"/>
          <w:sz w:val="32"/>
        </w:rPr>
      </w:pPr>
      <w:r>
        <w:br w:type="page"/>
      </w:r>
    </w:p>
    <w:p w14:paraId="23E5445B">
      <w:pPr>
        <w:pStyle w:val="95"/>
        <w:spacing w:after="468"/>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7B9A62C">
      <w:pPr>
        <w:pStyle w:val="93"/>
        <w:spacing w:before="560" w:after="468"/>
        <w:ind w:left="0" w:firstLine="0"/>
      </w:pPr>
      <w:bookmarkStart w:id="22" w:name="_Toc181087354"/>
      <w:bookmarkStart w:id="23" w:name="BookMark2"/>
      <w:r>
        <w:rPr>
          <w:spacing w:val="320"/>
        </w:rPr>
        <w:t>前</w:t>
      </w:r>
      <w:r>
        <w:t>言</w:t>
      </w:r>
      <w:bookmarkEnd w:id="22"/>
    </w:p>
    <w:p w14:paraId="79199EAB">
      <w:pPr>
        <w:pStyle w:val="59"/>
        <w:ind w:firstLine="420"/>
      </w:pPr>
      <w:r>
        <w:t>本文件按照GB/T 1.1—2020《标准化工作导则 第 1 部分：标准化文件的结构和起草规则》的规定起草。</w:t>
      </w:r>
    </w:p>
    <w:p w14:paraId="3F192AA2">
      <w:pPr>
        <w:pStyle w:val="59"/>
        <w:ind w:firstLine="420"/>
      </w:pPr>
      <w:r>
        <w:rPr>
          <w:rFonts w:hint="eastAsia"/>
        </w:rPr>
        <w:t>本文件是DB42/T XXXX《生态环境监测安全管理技术规范》的第2部分。DB42/T XXXX分为如下几部分：</w:t>
      </w:r>
    </w:p>
    <w:p w14:paraId="04291A0B">
      <w:pPr>
        <w:pStyle w:val="59"/>
        <w:ind w:firstLine="420"/>
        <w:rPr>
          <w:rFonts w:hint="eastAsia"/>
          <w:lang w:eastAsia="zh-CN"/>
        </w:rPr>
      </w:pPr>
      <w:r>
        <w:rPr>
          <w:rFonts w:hint="eastAsia"/>
        </w:rPr>
        <w:t>——第1部分：总则</w:t>
      </w:r>
      <w:r>
        <w:rPr>
          <w:rFonts w:hint="eastAsia"/>
          <w:lang w:eastAsia="zh-CN"/>
        </w:rPr>
        <w:t>；</w:t>
      </w:r>
    </w:p>
    <w:p w14:paraId="3464DA7D">
      <w:pPr>
        <w:pStyle w:val="59"/>
        <w:ind w:firstLine="420"/>
        <w:rPr>
          <w:rFonts w:hint="eastAsia"/>
          <w:lang w:eastAsia="zh-CN"/>
        </w:rPr>
      </w:pPr>
      <w:r>
        <w:rPr>
          <w:rFonts w:hint="eastAsia"/>
        </w:rPr>
        <w:t>——第2部分：现场监测</w:t>
      </w:r>
      <w:r>
        <w:rPr>
          <w:rFonts w:hint="eastAsia"/>
          <w:lang w:eastAsia="zh-CN"/>
        </w:rPr>
        <w:t>；</w:t>
      </w:r>
    </w:p>
    <w:p w14:paraId="66A8079D">
      <w:pPr>
        <w:pStyle w:val="59"/>
        <w:ind w:firstLine="420"/>
        <w:rPr>
          <w:rFonts w:hint="eastAsia"/>
          <w:lang w:eastAsia="zh-CN"/>
        </w:rPr>
      </w:pPr>
      <w:r>
        <w:rPr>
          <w:rFonts w:hint="eastAsia"/>
        </w:rPr>
        <w:t>——第3部分：实验室监测</w:t>
      </w:r>
      <w:r>
        <w:rPr>
          <w:rFonts w:hint="eastAsia"/>
          <w:lang w:eastAsia="zh-CN"/>
        </w:rPr>
        <w:t>；</w:t>
      </w:r>
    </w:p>
    <w:p w14:paraId="0F6B2DEB">
      <w:pPr>
        <w:pStyle w:val="59"/>
        <w:ind w:firstLine="420"/>
        <w:rPr>
          <w:rFonts w:hint="eastAsia"/>
          <w:lang w:eastAsia="zh-CN"/>
        </w:rPr>
      </w:pPr>
      <w:r>
        <w:rPr>
          <w:rFonts w:hint="eastAsia"/>
        </w:rPr>
        <w:t>——第4部分：自动监测</w:t>
      </w:r>
      <w:r>
        <w:rPr>
          <w:rFonts w:hint="eastAsia"/>
          <w:lang w:eastAsia="zh-CN"/>
        </w:rPr>
        <w:t>；</w:t>
      </w:r>
    </w:p>
    <w:p w14:paraId="5EF37200">
      <w:pPr>
        <w:pStyle w:val="59"/>
        <w:ind w:firstLine="420"/>
        <w:rPr>
          <w:rFonts w:hint="eastAsia"/>
          <w:lang w:eastAsia="zh-CN"/>
        </w:rPr>
      </w:pPr>
      <w:r>
        <w:rPr>
          <w:rFonts w:hint="eastAsia"/>
        </w:rPr>
        <w:t>——第5部分：应急监测</w:t>
      </w:r>
      <w:r>
        <w:rPr>
          <w:rFonts w:hint="eastAsia"/>
          <w:lang w:eastAsia="zh-CN"/>
        </w:rPr>
        <w:t>；</w:t>
      </w:r>
    </w:p>
    <w:p w14:paraId="0D68FA9B">
      <w:pPr>
        <w:pStyle w:val="59"/>
        <w:ind w:firstLine="420"/>
        <w:rPr>
          <w:rFonts w:hint="eastAsia"/>
          <w:lang w:eastAsia="zh-CN"/>
        </w:rPr>
      </w:pPr>
      <w:r>
        <w:rPr>
          <w:rFonts w:hint="eastAsia"/>
          <w:lang w:eastAsia="zh-CN"/>
        </w:rPr>
        <w:t>——第6部分：辐射监测；</w:t>
      </w:r>
    </w:p>
    <w:p w14:paraId="053C0CA1">
      <w:pPr>
        <w:pStyle w:val="59"/>
        <w:ind w:firstLine="420"/>
      </w:pPr>
      <w:r>
        <w:t>……</w:t>
      </w:r>
    </w:p>
    <w:p w14:paraId="44B0269D">
      <w:pPr>
        <w:pStyle w:val="59"/>
        <w:ind w:firstLine="420"/>
      </w:pPr>
      <w:r>
        <w:rPr>
          <w:rFonts w:hint="eastAsia"/>
        </w:rPr>
        <w:t>请注意本文件的某些内容可能涉及专利。本文件的发布机构不承担识别专利的责任。</w:t>
      </w:r>
    </w:p>
    <w:p w14:paraId="27101320">
      <w:pPr>
        <w:pStyle w:val="59"/>
        <w:ind w:firstLine="420"/>
      </w:pPr>
      <w:r>
        <w:t>本文件由湖北省生态环境监测中心站提出。</w:t>
      </w:r>
    </w:p>
    <w:p w14:paraId="329EE5AE">
      <w:pPr>
        <w:pStyle w:val="59"/>
        <w:ind w:firstLine="420"/>
      </w:pPr>
      <w:r>
        <w:t>本文件由湖北省生态环境厅归口。</w:t>
      </w:r>
    </w:p>
    <w:p w14:paraId="602B7987">
      <w:pPr>
        <w:pStyle w:val="59"/>
        <w:ind w:firstLine="420"/>
      </w:pPr>
      <w:r>
        <w:rPr>
          <w:rFonts w:hint="eastAsia"/>
        </w:rPr>
        <w:t>本文件起草单位：湖北省生态环境监测中心站、湖北省生态环境厅荆州生态环境监测中心、湖北省生态环境厅武汉生态环境监测中心、湖北省生态环境厅襄阳生态环境监测中心、湖北省标准化与质量研究院、湖北省市场监督管理局行政许可技术评审中心。</w:t>
      </w:r>
    </w:p>
    <w:p w14:paraId="10FEA951">
      <w:pPr>
        <w:pStyle w:val="59"/>
        <w:ind w:firstLine="420"/>
      </w:pPr>
      <w:r>
        <w:rPr>
          <w:rFonts w:hint="eastAsia"/>
        </w:rPr>
        <w:t>本文件主要起草人：贺小敏、杨立群、郑易、张明涛、沈龙娇、胡青峰、</w:t>
      </w:r>
      <w:r>
        <w:rPr>
          <w:rFonts w:hint="eastAsia"/>
          <w:lang w:val="en-US" w:eastAsia="zh-CN"/>
        </w:rPr>
        <w:t>吴昊</w:t>
      </w:r>
      <w:r>
        <w:rPr>
          <w:rFonts w:hint="eastAsia"/>
        </w:rPr>
        <w:t>、严格、程继雄、</w:t>
      </w:r>
      <w:r>
        <w:rPr>
          <w:rFonts w:hint="eastAsia"/>
          <w:lang w:val="en-US" w:eastAsia="zh-CN"/>
        </w:rPr>
        <w:t>段紫薇、</w:t>
      </w:r>
      <w:bookmarkStart w:id="56" w:name="_GoBack"/>
      <w:bookmarkEnd w:id="56"/>
      <w:r>
        <w:rPr>
          <w:rFonts w:hint="eastAsia"/>
        </w:rPr>
        <w:t>李韬、刘静、郑文、黄荣、叶芸。</w:t>
      </w:r>
    </w:p>
    <w:p w14:paraId="24AC1C9D">
      <w:pPr>
        <w:pStyle w:val="59"/>
        <w:ind w:firstLine="420"/>
      </w:pPr>
      <w:r>
        <w:rPr>
          <w:rFonts w:hint="eastAsia"/>
        </w:rPr>
        <w:t>本文件实施应用中的疑问，可咨询湖北省生态环境厅，联系电话</w:t>
      </w:r>
      <w:r>
        <w:t>：027-87167532，邮箱：</w:t>
      </w:r>
      <w:r>
        <w:fldChar w:fldCharType="begin"/>
      </w:r>
      <w:r>
        <w:instrText xml:space="preserve"> HYPERLINK "mailto:285706998@qq.com" </w:instrText>
      </w:r>
      <w:r>
        <w:fldChar w:fldCharType="separate"/>
      </w:r>
      <w:r>
        <w:t>285706998@qq.com</w:t>
      </w:r>
      <w:r>
        <w:fldChar w:fldCharType="end"/>
      </w:r>
      <w:r>
        <w:rPr>
          <w:rFonts w:hint="eastAsia"/>
          <w:lang w:eastAsia="zh-CN"/>
        </w:rPr>
        <w:t>。</w:t>
      </w:r>
      <w:r>
        <w:t>对本文件的有关修改意见建议请反馈至湖北省生态环境监测中心站，联系电话：027-87614789，邮箱：</w:t>
      </w:r>
      <w:r>
        <w:fldChar w:fldCharType="begin"/>
      </w:r>
      <w:r>
        <w:instrText xml:space="preserve"> HYPERLINK "mailto:39208454@qq.com" </w:instrText>
      </w:r>
      <w:r>
        <w:fldChar w:fldCharType="separate"/>
      </w:r>
      <w:r>
        <w:t>39208454@qq.com</w:t>
      </w:r>
      <w:r>
        <w:fldChar w:fldCharType="end"/>
      </w:r>
      <w:r>
        <w:t>。</w:t>
      </w:r>
    </w:p>
    <w:p w14:paraId="714FF30B">
      <w:pPr>
        <w:pStyle w:val="59"/>
        <w:ind w:firstLine="420"/>
      </w:pPr>
    </w:p>
    <w:p w14:paraId="4170543C">
      <w:pPr>
        <w:pStyle w:val="59"/>
        <w:ind w:firstLine="420"/>
        <w:sectPr>
          <w:headerReference r:id="rId13" w:type="default"/>
          <w:footerReference r:id="rId15" w:type="default"/>
          <w:headerReference r:id="rId14" w:type="even"/>
          <w:footerReference r:id="rId16" w:type="even"/>
          <w:pgSz w:w="11906" w:h="16838"/>
          <w:pgMar w:top="1928" w:right="1134" w:bottom="1134" w:left="1134" w:header="1418" w:footer="1134" w:gutter="284"/>
          <w:pgNumType w:fmt="upperRoman"/>
          <w:cols w:space="425" w:num="1"/>
          <w:formProt w:val="0"/>
          <w:docGrid w:type="lines" w:linePitch="312" w:charSpace="0"/>
        </w:sectPr>
      </w:pPr>
    </w:p>
    <w:bookmarkEnd w:id="23"/>
    <w:p w14:paraId="7EBCE0DD">
      <w:pPr>
        <w:spacing w:line="20" w:lineRule="exact"/>
        <w:jc w:val="center"/>
        <w:rPr>
          <w:rFonts w:ascii="黑体" w:hAnsi="黑体" w:eastAsia="黑体"/>
          <w:sz w:val="32"/>
          <w:szCs w:val="32"/>
        </w:rPr>
      </w:pPr>
      <w:bookmarkStart w:id="24" w:name="BookMark4"/>
    </w:p>
    <w:p w14:paraId="5A8AF0D0">
      <w:pPr>
        <w:spacing w:line="20" w:lineRule="exact"/>
        <w:jc w:val="center"/>
        <w:rPr>
          <w:rFonts w:ascii="黑体" w:hAnsi="黑体" w:eastAsia="黑体"/>
          <w:sz w:val="32"/>
          <w:szCs w:val="32"/>
        </w:rPr>
      </w:pPr>
    </w:p>
    <w:sdt>
      <w:sdtPr>
        <w:tag w:val="NEW_STAND_NAME"/>
        <w:id w:val="595910757"/>
        <w:lock w:val="sdtLocked"/>
        <w:placeholder>
          <w:docPart w:val="C4459126D8D84CA8B94AC98F30D2525E"/>
        </w:placeholder>
      </w:sdtPr>
      <w:sdtContent>
        <w:p w14:paraId="277F3979">
          <w:pPr>
            <w:pStyle w:val="181"/>
            <w:spacing w:before="3" w:beforeLines="1" w:after="3" w:afterLines="1"/>
            <w:rPr>
              <w:rFonts w:hint="eastAsia" w:eastAsia="黑体"/>
              <w:lang w:val="en-US" w:eastAsia="zh-CN"/>
            </w:rPr>
          </w:pPr>
          <w:bookmarkStart w:id="25" w:name="NEW_STAND_NAME"/>
          <w:r>
            <w:rPr>
              <w:rFonts w:hint="eastAsia"/>
              <w:lang w:eastAsia="zh-CN"/>
            </w:rPr>
            <w:t>生态环境监测安全管理技术规范</w:t>
          </w:r>
        </w:p>
        <w:p w14:paraId="0309683A">
          <w:pPr>
            <w:pStyle w:val="181"/>
            <w:spacing w:before="3" w:beforeLines="1" w:after="680"/>
          </w:pPr>
          <w:r>
            <w:rPr>
              <w:rFonts w:hint="eastAsia"/>
              <w:lang w:eastAsia="zh-CN"/>
            </w:rPr>
            <w:t>第</w:t>
          </w:r>
          <w:r>
            <w:rPr>
              <w:rFonts w:hint="eastAsia"/>
              <w:lang w:val="en-US" w:eastAsia="zh-CN"/>
            </w:rPr>
            <w:t>2</w:t>
          </w:r>
          <w:r>
            <w:rPr>
              <w:rFonts w:hint="eastAsia"/>
              <w:lang w:eastAsia="zh-CN"/>
            </w:rPr>
            <w:t>部分：现场监测</w:t>
          </w:r>
        </w:p>
      </w:sdtContent>
    </w:sdt>
    <w:bookmarkEnd w:id="25"/>
    <w:p w14:paraId="15A5CD7E">
      <w:pPr>
        <w:pStyle w:val="108"/>
        <w:spacing w:before="312" w:after="312"/>
      </w:pPr>
      <w:bookmarkStart w:id="26" w:name="_Toc17233325"/>
      <w:bookmarkStart w:id="27" w:name="_Toc97191423"/>
      <w:bookmarkStart w:id="28" w:name="_Toc26718930"/>
      <w:bookmarkStart w:id="29" w:name="_Toc26986530"/>
      <w:bookmarkStart w:id="30" w:name="_Toc26648465"/>
      <w:bookmarkStart w:id="31" w:name="_Toc26986771"/>
      <w:bookmarkStart w:id="32" w:name="_Toc17233333"/>
      <w:bookmarkStart w:id="33" w:name="_Toc24884218"/>
      <w:bookmarkStart w:id="34" w:name="_Toc181087355"/>
      <w:bookmarkStart w:id="35" w:name="_Toc24884211"/>
      <w:r>
        <w:rPr>
          <w:rFonts w:hint="eastAsia"/>
        </w:rPr>
        <w:t>范围</w:t>
      </w:r>
      <w:bookmarkEnd w:id="26"/>
      <w:bookmarkEnd w:id="27"/>
      <w:bookmarkEnd w:id="28"/>
      <w:bookmarkEnd w:id="29"/>
      <w:bookmarkEnd w:id="30"/>
      <w:bookmarkEnd w:id="31"/>
      <w:bookmarkEnd w:id="32"/>
      <w:bookmarkEnd w:id="33"/>
      <w:bookmarkEnd w:id="34"/>
      <w:bookmarkEnd w:id="35"/>
    </w:p>
    <w:p w14:paraId="314A3617">
      <w:pPr>
        <w:pStyle w:val="59"/>
        <w:ind w:firstLine="420"/>
        <w:rPr>
          <w:rFonts w:hint="eastAsia"/>
        </w:rPr>
      </w:pPr>
      <w:bookmarkStart w:id="36" w:name="_Toc17233334"/>
      <w:bookmarkStart w:id="37" w:name="_Toc24884219"/>
      <w:bookmarkStart w:id="38" w:name="_Toc17233326"/>
      <w:bookmarkStart w:id="39" w:name="_Toc26648466"/>
      <w:bookmarkStart w:id="40" w:name="_Toc24884212"/>
      <w:r>
        <w:rPr>
          <w:rFonts w:hint="eastAsia"/>
        </w:rPr>
        <w:t>本文件规定了生态环境监测机构在开展水和废水、环境空气和废气、土壤、噪声</w:t>
      </w:r>
      <w:r>
        <w:rPr>
          <w:rFonts w:hint="eastAsia"/>
          <w:lang w:val="en-US" w:eastAsia="zh-CN"/>
        </w:rPr>
        <w:t>和振动、固体废物、辐射、生物</w:t>
      </w:r>
      <w:r>
        <w:rPr>
          <w:rFonts w:hint="eastAsia"/>
        </w:rPr>
        <w:t>等现场监测的安全管理技术要求。</w:t>
      </w:r>
    </w:p>
    <w:p w14:paraId="04DA91D0">
      <w:pPr>
        <w:pStyle w:val="59"/>
        <w:ind w:firstLine="420"/>
      </w:pPr>
      <w:bookmarkStart w:id="41" w:name="_Toc97191424"/>
      <w:bookmarkStart w:id="42" w:name="_Toc26986772"/>
      <w:bookmarkStart w:id="43" w:name="_Toc181087356"/>
      <w:bookmarkStart w:id="44" w:name="_Toc26986531"/>
      <w:bookmarkStart w:id="45" w:name="_Toc26718931"/>
      <w:r>
        <w:rPr>
          <w:rFonts w:hint="eastAsia"/>
        </w:rPr>
        <w:t>本文件适用于</w:t>
      </w:r>
      <w:r>
        <w:rPr>
          <w:rFonts w:hint="eastAsia" w:hAnsi="宋体" w:cs="宋体"/>
          <w:szCs w:val="21"/>
        </w:rPr>
        <w:t>生态环境监测</w:t>
      </w:r>
      <w:r>
        <w:rPr>
          <w:rFonts w:hint="eastAsia"/>
        </w:rPr>
        <w:t>现场监测</w:t>
      </w:r>
      <w:r>
        <w:rPr>
          <w:rFonts w:hint="eastAsia"/>
          <w:lang w:val="en-US" w:eastAsia="zh-CN"/>
        </w:rPr>
        <w:t>活动中</w:t>
      </w:r>
      <w:r>
        <w:rPr>
          <w:rFonts w:hint="eastAsia"/>
        </w:rPr>
        <w:t>的安全管理工作。</w:t>
      </w:r>
    </w:p>
    <w:p w14:paraId="16CEF659">
      <w:pPr>
        <w:pStyle w:val="108"/>
        <w:spacing w:before="312" w:after="312"/>
      </w:pPr>
      <w:r>
        <w:rPr>
          <w:rFonts w:hint="eastAsia"/>
        </w:rPr>
        <w:t>规范性引用文件</w:t>
      </w:r>
      <w:bookmarkEnd w:id="36"/>
      <w:bookmarkEnd w:id="37"/>
      <w:bookmarkEnd w:id="38"/>
      <w:bookmarkEnd w:id="39"/>
      <w:bookmarkEnd w:id="40"/>
      <w:bookmarkEnd w:id="41"/>
      <w:bookmarkEnd w:id="42"/>
      <w:bookmarkEnd w:id="43"/>
      <w:bookmarkEnd w:id="44"/>
      <w:bookmarkEnd w:id="45"/>
    </w:p>
    <w:p w14:paraId="5757A18D">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bookmarkStart w:id="46" w:name="_Toc44236895"/>
      <w:bookmarkStart w:id="47" w:name="_Toc44236928"/>
      <w:r>
        <w:rPr>
          <w:rFonts w:hint="eastAsia"/>
        </w:rPr>
        <w:t>下列文件中的内容通过文中的规范性引用而构成本文件必不可少的条款。其中，注日期的引用文件，仅该日期对应的版本适用于本文件</w:t>
      </w:r>
      <w:r>
        <w:rPr>
          <w:rFonts w:hint="eastAsia"/>
          <w:lang w:eastAsia="zh-CN"/>
        </w:rPr>
        <w:t>。</w:t>
      </w:r>
      <w:r>
        <w:rPr>
          <w:rFonts w:hint="eastAsia"/>
        </w:rPr>
        <w:t>不注日期的引用文件，其最新版本（包括所有的修改单）适用于本文件</w:t>
      </w:r>
      <w:bookmarkEnd w:id="46"/>
      <w:bookmarkEnd w:id="47"/>
      <w:r>
        <w:rPr>
          <w:rFonts w:hint="eastAsia"/>
        </w:rPr>
        <w:t>。</w:t>
      </w:r>
    </w:p>
    <w:p w14:paraId="592DD62E">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 2811</w:t>
      </w:r>
      <w:r>
        <w:rPr>
          <w:rFonts w:hint="eastAsia" w:ascii="Times New Roman"/>
          <w:szCs w:val="21"/>
          <w:lang w:val="en-US" w:eastAsia="zh-CN"/>
        </w:rPr>
        <w:t xml:space="preserve">  </w:t>
      </w:r>
      <w:r>
        <w:rPr>
          <w:rFonts w:hint="default" w:ascii="Times New Roman"/>
          <w:szCs w:val="21"/>
        </w:rPr>
        <w:t>头部防护 安全帽</w:t>
      </w:r>
    </w:p>
    <w:p w14:paraId="0AB45AF1">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eastAsia" w:ascii="Times New Roman" w:eastAsia="宋体"/>
          <w:szCs w:val="21"/>
          <w:lang w:val="en-US" w:eastAsia="zh-CN"/>
        </w:rPr>
      </w:pPr>
      <w:r>
        <w:rPr>
          <w:rFonts w:hint="default" w:ascii="Times New Roman"/>
          <w:szCs w:val="21"/>
        </w:rPr>
        <w:t>GB 3096</w:t>
      </w:r>
      <w:r>
        <w:rPr>
          <w:rFonts w:hint="eastAsia" w:ascii="Times New Roman"/>
          <w:szCs w:val="21"/>
          <w:lang w:val="en-US" w:eastAsia="zh-CN"/>
        </w:rPr>
        <w:t xml:space="preserve">  </w:t>
      </w:r>
      <w:r>
        <w:rPr>
          <w:rFonts w:hint="default" w:ascii="Times New Roman"/>
          <w:szCs w:val="21"/>
        </w:rPr>
        <w:t>声环境质量标准</w:t>
      </w:r>
      <w:r>
        <w:rPr>
          <w:rFonts w:hint="eastAsia" w:ascii="Times New Roman"/>
          <w:szCs w:val="21"/>
          <w:lang w:eastAsia="zh-CN"/>
        </w:rPr>
        <w:t xml:space="preserve"> </w:t>
      </w:r>
    </w:p>
    <w:p w14:paraId="043B399F">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 9661</w:t>
      </w:r>
      <w:r>
        <w:rPr>
          <w:rFonts w:hint="default" w:ascii="Times New Roman"/>
          <w:szCs w:val="21"/>
        </w:rPr>
        <w:tab/>
      </w:r>
      <w:r>
        <w:rPr>
          <w:rFonts w:hint="eastAsia" w:ascii="Times New Roman"/>
          <w:szCs w:val="21"/>
          <w:lang w:val="en-US" w:eastAsia="zh-CN"/>
        </w:rPr>
        <w:t xml:space="preserve">  </w:t>
      </w:r>
      <w:r>
        <w:rPr>
          <w:rFonts w:hint="default" w:ascii="Times New Roman"/>
          <w:szCs w:val="21"/>
        </w:rPr>
        <w:t>机场周围飞机噪声环境标准</w:t>
      </w:r>
    </w:p>
    <w:p w14:paraId="59A30535">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 12348</w:t>
      </w:r>
      <w:r>
        <w:rPr>
          <w:rFonts w:hint="eastAsia" w:ascii="Times New Roman"/>
          <w:szCs w:val="21"/>
          <w:lang w:val="en-US" w:eastAsia="zh-CN"/>
        </w:rPr>
        <w:t xml:space="preserve">  </w:t>
      </w:r>
      <w:r>
        <w:rPr>
          <w:rFonts w:hint="default" w:ascii="Times New Roman"/>
          <w:szCs w:val="21"/>
        </w:rPr>
        <w:t>工业企业厂界环境噪声排放标准</w:t>
      </w:r>
    </w:p>
    <w:p w14:paraId="35A7ADA2">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 12523</w:t>
      </w:r>
      <w:r>
        <w:rPr>
          <w:rFonts w:hint="eastAsia" w:ascii="Times New Roman"/>
          <w:szCs w:val="21"/>
          <w:lang w:val="en-US" w:eastAsia="zh-CN"/>
        </w:rPr>
        <w:t xml:space="preserve">  </w:t>
      </w:r>
      <w:r>
        <w:rPr>
          <w:rFonts w:hint="default" w:ascii="Times New Roman"/>
          <w:szCs w:val="21"/>
        </w:rPr>
        <w:t>建筑施工场界环境噪声排放标准</w:t>
      </w:r>
    </w:p>
    <w:p w14:paraId="0F94885A">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 16297</w:t>
      </w:r>
      <w:r>
        <w:rPr>
          <w:rFonts w:hint="eastAsia" w:ascii="Times New Roman"/>
          <w:szCs w:val="21"/>
          <w:lang w:val="en-US" w:eastAsia="zh-CN"/>
        </w:rPr>
        <w:t xml:space="preserve">  </w:t>
      </w:r>
      <w:r>
        <w:rPr>
          <w:rFonts w:hint="default" w:ascii="Times New Roman"/>
          <w:szCs w:val="21"/>
        </w:rPr>
        <w:t>大气污染物综合排放标准</w:t>
      </w:r>
    </w:p>
    <w:p w14:paraId="37B371A2">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 37822</w:t>
      </w:r>
      <w:r>
        <w:rPr>
          <w:rFonts w:hint="eastAsia" w:ascii="Times New Roman"/>
          <w:szCs w:val="21"/>
          <w:lang w:val="en-US" w:eastAsia="zh-CN"/>
        </w:rPr>
        <w:t xml:space="preserve">  </w:t>
      </w:r>
      <w:r>
        <w:rPr>
          <w:rFonts w:hint="default" w:ascii="Times New Roman"/>
          <w:szCs w:val="21"/>
        </w:rPr>
        <w:t>挥发性有机物无组织排放控制标准</w:t>
      </w:r>
    </w:p>
    <w:p w14:paraId="1E5EC66B">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GB/T 3608</w:t>
      </w:r>
      <w:r>
        <w:rPr>
          <w:rFonts w:hint="eastAsia" w:ascii="Times New Roman"/>
          <w:szCs w:val="21"/>
          <w:lang w:val="en-US" w:eastAsia="zh-CN"/>
        </w:rPr>
        <w:t xml:space="preserve">  </w:t>
      </w:r>
      <w:r>
        <w:rPr>
          <w:rFonts w:hint="default" w:ascii="Times New Roman"/>
          <w:szCs w:val="21"/>
          <w:lang w:val="en-US" w:eastAsia="zh-CN"/>
        </w:rPr>
        <w:t xml:space="preserve"> </w:t>
      </w:r>
      <w:r>
        <w:rPr>
          <w:rFonts w:hint="default" w:ascii="Times New Roman"/>
          <w:szCs w:val="21"/>
        </w:rPr>
        <w:t>高处作业分级</w:t>
      </w:r>
    </w:p>
    <w:p w14:paraId="5C4797DB">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GB/T 8196</w:t>
      </w:r>
      <w:r>
        <w:rPr>
          <w:rFonts w:hint="eastAsia" w:ascii="Times New Roman"/>
          <w:szCs w:val="21"/>
          <w:lang w:val="en-US" w:eastAsia="zh-CN"/>
        </w:rPr>
        <w:t xml:space="preserve">   </w:t>
      </w:r>
      <w:r>
        <w:rPr>
          <w:rFonts w:hint="default" w:ascii="Times New Roman"/>
          <w:szCs w:val="21"/>
        </w:rPr>
        <w:t>机械安全防护装置设计规范</w:t>
      </w:r>
    </w:p>
    <w:p w14:paraId="50985815">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GB/T 13861</w:t>
      </w:r>
      <w:r>
        <w:rPr>
          <w:rFonts w:hint="eastAsia" w:ascii="Times New Roman"/>
          <w:szCs w:val="21"/>
          <w:lang w:val="en-US" w:eastAsia="zh-CN"/>
        </w:rPr>
        <w:t xml:space="preserve">  </w:t>
      </w:r>
      <w:r>
        <w:rPr>
          <w:rFonts w:hint="default" w:ascii="Times New Roman"/>
          <w:szCs w:val="21"/>
        </w:rPr>
        <w:t>生产过程危险和有害因素分类与代码</w:t>
      </w:r>
    </w:p>
    <w:p w14:paraId="026024CC">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GB/T 27921</w:t>
      </w:r>
      <w:r>
        <w:rPr>
          <w:rFonts w:hint="eastAsia" w:ascii="Times New Roman"/>
          <w:szCs w:val="21"/>
          <w:lang w:val="en-US" w:eastAsia="zh-CN"/>
        </w:rPr>
        <w:t xml:space="preserve">  </w:t>
      </w:r>
      <w:r>
        <w:rPr>
          <w:rFonts w:hint="default" w:ascii="Times New Roman"/>
          <w:szCs w:val="21"/>
        </w:rPr>
        <w:t>风险管理 风险评估技术</w:t>
      </w:r>
    </w:p>
    <w:p w14:paraId="6698793D">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GB/T 27962</w:t>
      </w:r>
      <w:r>
        <w:rPr>
          <w:rFonts w:hint="eastAsia" w:ascii="Times New Roman"/>
          <w:szCs w:val="21"/>
          <w:lang w:val="en-US" w:eastAsia="zh-CN"/>
        </w:rPr>
        <w:t xml:space="preserve">  </w:t>
      </w:r>
      <w:r>
        <w:rPr>
          <w:rFonts w:hint="default" w:ascii="Times New Roman"/>
          <w:szCs w:val="21"/>
        </w:rPr>
        <w:t>气象灾害预警信号图标</w:t>
      </w:r>
    </w:p>
    <w:p w14:paraId="63EA2FB4">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GB/T 33000</w:t>
      </w:r>
      <w:r>
        <w:rPr>
          <w:rFonts w:hint="eastAsia" w:ascii="Times New Roman"/>
          <w:szCs w:val="21"/>
          <w:lang w:val="en-US" w:eastAsia="zh-CN"/>
        </w:rPr>
        <w:t xml:space="preserve">  </w:t>
      </w:r>
      <w:r>
        <w:rPr>
          <w:rFonts w:hint="default" w:ascii="Times New Roman"/>
          <w:szCs w:val="21"/>
        </w:rPr>
        <w:t>企业安全生产标准化基本规范</w:t>
      </w:r>
    </w:p>
    <w:p w14:paraId="7DF89B4E">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GB/T 45001</w:t>
      </w:r>
      <w:r>
        <w:rPr>
          <w:rFonts w:hint="eastAsia" w:ascii="Times New Roman"/>
          <w:szCs w:val="21"/>
          <w:lang w:val="en-US" w:eastAsia="zh-CN"/>
        </w:rPr>
        <w:t xml:space="preserve">  </w:t>
      </w:r>
      <w:r>
        <w:rPr>
          <w:rFonts w:hint="default" w:ascii="Times New Roman"/>
          <w:szCs w:val="21"/>
        </w:rPr>
        <w:t>职业健康安全管理体系要求及使用指南</w:t>
      </w:r>
    </w:p>
    <w:p w14:paraId="692DB71B">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w:t>
      </w:r>
      <w:r>
        <w:rPr>
          <w:rFonts w:hint="default" w:ascii="Times New Roman"/>
          <w:szCs w:val="21"/>
          <w:lang w:val="en-US" w:eastAsia="zh-CN"/>
        </w:rPr>
        <w:t xml:space="preserve"> </w:t>
      </w:r>
      <w:r>
        <w:rPr>
          <w:rFonts w:hint="default" w:ascii="Times New Roman"/>
          <w:szCs w:val="21"/>
        </w:rPr>
        <w:t>61</w:t>
      </w:r>
      <w:r>
        <w:rPr>
          <w:rFonts w:hint="eastAsia" w:ascii="Times New Roman"/>
          <w:szCs w:val="21"/>
          <w:lang w:val="en-US" w:eastAsia="zh-CN"/>
        </w:rPr>
        <w:t xml:space="preserve">  </w:t>
      </w:r>
      <w:r>
        <w:rPr>
          <w:rFonts w:hint="default" w:ascii="Times New Roman"/>
          <w:szCs w:val="21"/>
        </w:rPr>
        <w:t>辐射环境监测技术规范</w:t>
      </w:r>
    </w:p>
    <w:p w14:paraId="36B32B72">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91</w:t>
      </w:r>
      <w:r>
        <w:rPr>
          <w:rFonts w:hint="eastAsia" w:ascii="Times New Roman"/>
          <w:szCs w:val="21"/>
          <w:lang w:val="en-US" w:eastAsia="zh-CN"/>
        </w:rPr>
        <w:t xml:space="preserve">  </w:t>
      </w:r>
      <w:r>
        <w:rPr>
          <w:rFonts w:hint="default" w:ascii="Times New Roman"/>
          <w:szCs w:val="21"/>
        </w:rPr>
        <w:fldChar w:fldCharType="begin"/>
      </w:r>
      <w:r>
        <w:rPr>
          <w:rFonts w:hint="default" w:ascii="Times New Roman"/>
          <w:szCs w:val="21"/>
        </w:rPr>
        <w:instrText xml:space="preserve"> HYPERLINK "https://www.mee.gov.cn/ywgz/fgbz/bz/bzwb/jcffbz/200301/t20030101_66890.htm" \t "https://cn.bing.com/_blank" </w:instrText>
      </w:r>
      <w:r>
        <w:rPr>
          <w:rFonts w:hint="default" w:ascii="Times New Roman"/>
          <w:szCs w:val="21"/>
        </w:rPr>
        <w:fldChar w:fldCharType="separate"/>
      </w:r>
      <w:r>
        <w:rPr>
          <w:rFonts w:hint="default" w:ascii="Times New Roman"/>
          <w:szCs w:val="21"/>
        </w:rPr>
        <w:t>地表水和污水监测技术规范</w:t>
      </w:r>
      <w:r>
        <w:rPr>
          <w:rFonts w:hint="default" w:ascii="Times New Roman"/>
          <w:szCs w:val="21"/>
        </w:rPr>
        <w:fldChar w:fldCharType="end"/>
      </w:r>
    </w:p>
    <w:p w14:paraId="55B14981">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91.1</w:t>
      </w:r>
      <w:r>
        <w:rPr>
          <w:rFonts w:hint="eastAsia" w:ascii="Times New Roman"/>
          <w:szCs w:val="21"/>
          <w:lang w:val="en-US" w:eastAsia="zh-CN"/>
        </w:rPr>
        <w:t xml:space="preserve">  </w:t>
      </w:r>
      <w:r>
        <w:rPr>
          <w:rFonts w:hint="default" w:ascii="Times New Roman"/>
          <w:szCs w:val="21"/>
        </w:rPr>
        <w:t xml:space="preserve">污水监测技术规范 </w:t>
      </w:r>
    </w:p>
    <w:p w14:paraId="413AD1F0">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91.2</w:t>
      </w:r>
      <w:r>
        <w:rPr>
          <w:rFonts w:hint="eastAsia" w:ascii="Times New Roman"/>
          <w:szCs w:val="21"/>
          <w:lang w:val="en-US" w:eastAsia="zh-CN"/>
        </w:rPr>
        <w:t xml:space="preserve">  </w:t>
      </w:r>
      <w:r>
        <w:rPr>
          <w:rFonts w:hint="default" w:ascii="Times New Roman"/>
          <w:szCs w:val="21"/>
        </w:rPr>
        <w:t xml:space="preserve">地表水环境质量监测技术规范 </w:t>
      </w:r>
    </w:p>
    <w:p w14:paraId="540366A8">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164</w:t>
      </w:r>
      <w:r>
        <w:rPr>
          <w:rFonts w:hint="eastAsia" w:ascii="Times New Roman"/>
          <w:szCs w:val="21"/>
          <w:lang w:val="en-US" w:eastAsia="zh-CN"/>
        </w:rPr>
        <w:t xml:space="preserve">  </w:t>
      </w:r>
      <w:r>
        <w:rPr>
          <w:rFonts w:hint="default" w:ascii="Times New Roman"/>
          <w:szCs w:val="21"/>
        </w:rPr>
        <w:t>地下水环境监测技术规范</w:t>
      </w:r>
    </w:p>
    <w:p w14:paraId="09A7A289">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494</w:t>
      </w:r>
      <w:r>
        <w:rPr>
          <w:rFonts w:hint="eastAsia" w:ascii="Times New Roman"/>
          <w:szCs w:val="21"/>
          <w:lang w:val="en-US" w:eastAsia="zh-CN"/>
        </w:rPr>
        <w:t xml:space="preserve">  </w:t>
      </w:r>
      <w:r>
        <w:rPr>
          <w:rFonts w:hint="default" w:ascii="Times New Roman"/>
          <w:szCs w:val="21"/>
        </w:rPr>
        <w:t>水质 采样技术指导</w:t>
      </w:r>
    </w:p>
    <w:p w14:paraId="6CE39196">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606</w:t>
      </w:r>
      <w:r>
        <w:rPr>
          <w:rFonts w:hint="eastAsia" w:ascii="Times New Roman"/>
          <w:szCs w:val="21"/>
          <w:lang w:val="en-US" w:eastAsia="zh-CN"/>
        </w:rPr>
        <w:t xml:space="preserve">  </w:t>
      </w:r>
      <w:r>
        <w:rPr>
          <w:rFonts w:hint="default" w:ascii="Times New Roman"/>
          <w:szCs w:val="21"/>
        </w:rPr>
        <w:t xml:space="preserve">工业污染源现场检查技术规范 </w:t>
      </w:r>
    </w:p>
    <w:p w14:paraId="4C54B71B">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640</w:t>
      </w:r>
      <w:r>
        <w:rPr>
          <w:rFonts w:hint="eastAsia" w:ascii="Times New Roman"/>
          <w:szCs w:val="21"/>
          <w:lang w:val="en-US" w:eastAsia="zh-CN"/>
        </w:rPr>
        <w:t xml:space="preserve">  </w:t>
      </w:r>
      <w:r>
        <w:rPr>
          <w:rFonts w:hint="default" w:ascii="Times New Roman"/>
          <w:szCs w:val="21"/>
        </w:rPr>
        <w:t xml:space="preserve">环境噪声监测技术规范 城市声环境常规监测 </w:t>
      </w:r>
    </w:p>
    <w:p w14:paraId="41531EF9">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664</w:t>
      </w:r>
      <w:r>
        <w:rPr>
          <w:rFonts w:hint="eastAsia" w:ascii="Times New Roman"/>
          <w:szCs w:val="21"/>
          <w:lang w:val="en-US" w:eastAsia="zh-CN"/>
        </w:rPr>
        <w:t xml:space="preserve">  </w:t>
      </w:r>
      <w:r>
        <w:rPr>
          <w:rFonts w:hint="default" w:ascii="Times New Roman"/>
          <w:szCs w:val="21"/>
        </w:rPr>
        <w:t>环境空气质量监测点位布设技术规范（试行）</w:t>
      </w:r>
    </w:p>
    <w:p w14:paraId="405E9B80">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710</w:t>
      </w:r>
      <w:r>
        <w:rPr>
          <w:rFonts w:hint="eastAsia" w:ascii="Times New Roman"/>
          <w:szCs w:val="21"/>
          <w:lang w:val="en-US" w:eastAsia="zh-CN"/>
        </w:rPr>
        <w:t xml:space="preserve">  </w:t>
      </w:r>
      <w:r>
        <w:rPr>
          <w:rFonts w:hint="default" w:ascii="Times New Roman"/>
          <w:szCs w:val="21"/>
        </w:rPr>
        <w:t>生物多样性观测技术导则 陆生脊椎动物</w:t>
      </w:r>
    </w:p>
    <w:p w14:paraId="5A5C2674">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918</w:t>
      </w:r>
      <w:r>
        <w:rPr>
          <w:rFonts w:hint="eastAsia" w:ascii="Times New Roman"/>
          <w:szCs w:val="21"/>
          <w:lang w:val="en-US" w:eastAsia="zh-CN"/>
        </w:rPr>
        <w:t xml:space="preserve">  </w:t>
      </w:r>
      <w:r>
        <w:rPr>
          <w:rFonts w:hint="default" w:ascii="Times New Roman"/>
          <w:szCs w:val="21"/>
        </w:rPr>
        <w:t>环境振动监测技术规范</w:t>
      </w:r>
    </w:p>
    <w:p w14:paraId="7680F520">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1295</w:t>
      </w:r>
      <w:r>
        <w:rPr>
          <w:rFonts w:hint="eastAsia" w:ascii="Times New Roman"/>
          <w:szCs w:val="21"/>
          <w:lang w:val="en-US" w:eastAsia="zh-CN"/>
        </w:rPr>
        <w:t xml:space="preserve">  </w:t>
      </w:r>
      <w:r>
        <w:rPr>
          <w:rFonts w:hint="default" w:ascii="Times New Roman"/>
          <w:szCs w:val="21"/>
        </w:rPr>
        <w:t>水生态监测技术指南　河流水生生物监测与评价（试行）</w:t>
      </w:r>
    </w:p>
    <w:p w14:paraId="5F9AD2B3">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1296</w:t>
      </w:r>
      <w:r>
        <w:rPr>
          <w:rFonts w:hint="eastAsia" w:ascii="Times New Roman"/>
          <w:szCs w:val="21"/>
          <w:lang w:val="en-US" w:eastAsia="zh-CN"/>
        </w:rPr>
        <w:t xml:space="preserve">  </w:t>
      </w:r>
      <w:r>
        <w:rPr>
          <w:rFonts w:hint="default" w:ascii="Times New Roman"/>
          <w:szCs w:val="21"/>
        </w:rPr>
        <w:t>水生态监测技术指南　湖泊和水库水生生物监测与评价（试行）</w:t>
      </w:r>
    </w:p>
    <w:p w14:paraId="6F0FE9BD">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 1405</w:t>
      </w:r>
      <w:r>
        <w:rPr>
          <w:rFonts w:hint="eastAsia" w:ascii="Times New Roman"/>
          <w:szCs w:val="21"/>
          <w:lang w:val="en-US" w:eastAsia="zh-CN"/>
        </w:rPr>
        <w:t xml:space="preserve">  </w:t>
      </w:r>
      <w:r>
        <w:rPr>
          <w:rFonts w:hint="default" w:ascii="Times New Roman"/>
          <w:szCs w:val="21"/>
        </w:rPr>
        <w:t>排污单位污染物排放口监测点位设置技术规范</w:t>
      </w:r>
    </w:p>
    <w:p w14:paraId="1BF20306">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HJ/T</w:t>
      </w:r>
      <w:r>
        <w:rPr>
          <w:rFonts w:hint="default" w:ascii="Times New Roman"/>
          <w:szCs w:val="21"/>
          <w:lang w:val="en-US" w:eastAsia="zh-CN"/>
        </w:rPr>
        <w:t xml:space="preserve"> </w:t>
      </w:r>
      <w:r>
        <w:rPr>
          <w:rFonts w:hint="default" w:ascii="Times New Roman"/>
          <w:szCs w:val="21"/>
        </w:rPr>
        <w:t>20</w:t>
      </w:r>
      <w:r>
        <w:rPr>
          <w:rFonts w:hint="eastAsia" w:ascii="Times New Roman"/>
          <w:szCs w:val="21"/>
          <w:lang w:val="en-US" w:eastAsia="zh-CN"/>
        </w:rPr>
        <w:t xml:space="preserve">  </w:t>
      </w:r>
      <w:r>
        <w:rPr>
          <w:rFonts w:hint="default" w:ascii="Times New Roman"/>
          <w:szCs w:val="21"/>
        </w:rPr>
        <w:t>工业固体废物采样制样技术规范</w:t>
      </w:r>
      <w:r>
        <w:rPr>
          <w:rFonts w:hint="default" w:ascii="Times New Roman"/>
          <w:szCs w:val="21"/>
          <w:lang w:val="en-US" w:eastAsia="zh-CN"/>
        </w:rPr>
        <w:t xml:space="preserve"> </w:t>
      </w:r>
    </w:p>
    <w:p w14:paraId="3254FACB">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HJ/T 166</w:t>
      </w:r>
      <w:r>
        <w:rPr>
          <w:rFonts w:hint="eastAsia" w:ascii="Times New Roman"/>
          <w:szCs w:val="21"/>
          <w:lang w:val="en-US" w:eastAsia="zh-CN"/>
        </w:rPr>
        <w:t xml:space="preserve">  </w:t>
      </w:r>
      <w:r>
        <w:rPr>
          <w:rFonts w:hint="default" w:ascii="Times New Roman"/>
          <w:szCs w:val="21"/>
        </w:rPr>
        <w:t xml:space="preserve">土壤环境监测技术规范 </w:t>
      </w:r>
    </w:p>
    <w:p w14:paraId="69BE0867">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default" w:ascii="Times New Roman"/>
          <w:szCs w:val="21"/>
        </w:rPr>
      </w:pPr>
      <w:r>
        <w:rPr>
          <w:rFonts w:hint="default" w:ascii="Times New Roman"/>
          <w:szCs w:val="21"/>
        </w:rPr>
        <w:t>HJ/T 397</w:t>
      </w:r>
      <w:r>
        <w:rPr>
          <w:rFonts w:hint="eastAsia" w:ascii="Times New Roman"/>
          <w:szCs w:val="21"/>
          <w:lang w:val="en-US" w:eastAsia="zh-CN"/>
        </w:rPr>
        <w:t xml:space="preserve">  </w:t>
      </w:r>
      <w:r>
        <w:rPr>
          <w:rFonts w:hint="default" w:ascii="Times New Roman"/>
          <w:szCs w:val="21"/>
        </w:rPr>
        <w:t>固定源废气监测技术规范</w:t>
      </w:r>
    </w:p>
    <w:p w14:paraId="1DB72CF7">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eastAsia"/>
        </w:rPr>
      </w:pPr>
      <w:r>
        <w:rPr>
          <w:rFonts w:hint="default" w:ascii="Times New Roman"/>
          <w:szCs w:val="21"/>
        </w:rPr>
        <w:t>DB42/T</w:t>
      </w:r>
      <w:r>
        <w:rPr>
          <w:rFonts w:hint="eastAsia" w:ascii="Times New Roman"/>
          <w:szCs w:val="21"/>
          <w:lang w:val="en-US" w:eastAsia="zh-CN"/>
        </w:rPr>
        <w:t xml:space="preserve"> XXXX.1  </w:t>
      </w:r>
      <w:r>
        <w:rPr>
          <w:rFonts w:hint="eastAsia"/>
        </w:rPr>
        <w:t>生态环境监测机构安全管理技术规范 第1部分：总则</w:t>
      </w:r>
    </w:p>
    <w:p w14:paraId="14B02CAD">
      <w:pPr>
        <w:pStyle w:val="108"/>
        <w:spacing w:before="312" w:after="312"/>
      </w:pPr>
      <w:bookmarkStart w:id="48" w:name="_Toc181087357"/>
      <w:bookmarkStart w:id="49" w:name="_Toc97191425"/>
      <w:r>
        <w:rPr>
          <w:rFonts w:hint="eastAsia"/>
          <w:szCs w:val="21"/>
        </w:rPr>
        <w:t>术语和定义</w:t>
      </w:r>
      <w:bookmarkEnd w:id="48"/>
      <w:bookmarkEnd w:id="49"/>
    </w:p>
    <w:sdt>
      <w:sdtPr>
        <w:id w:val="-1909835108"/>
        <w:placeholder>
          <w:docPart w:val="2E899F7D05054616984593DB41FED0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812814B">
          <w:pPr>
            <w:pStyle w:val="59"/>
            <w:keepNext w:val="0"/>
            <w:keepLines w:val="0"/>
            <w:pageBreakBefore w:val="0"/>
            <w:widowControl/>
            <w:kinsoku/>
            <w:wordWrap/>
            <w:overflowPunct/>
            <w:topLinePunct w:val="0"/>
            <w:bidi w:val="0"/>
            <w:adjustRightInd/>
            <w:snapToGrid/>
            <w:ind w:firstLine="420"/>
            <w:textAlignment w:val="auto"/>
          </w:pPr>
          <w:bookmarkStart w:id="50" w:name="_Toc26986532"/>
          <w:bookmarkEnd w:id="50"/>
          <w:r>
            <w:t>下列术语和定义适用于本文件。</w:t>
          </w:r>
        </w:p>
      </w:sdtContent>
    </w:sdt>
    <w:p w14:paraId="24B313B6">
      <w:pPr>
        <w:pStyle w:val="226"/>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420" w:leftChars="0" w:hanging="420" w:firstLineChars="0"/>
        <w:textAlignment w:val="auto"/>
        <w:rPr>
          <w:rFonts w:hint="eastAsia"/>
        </w:rPr>
      </w:pPr>
      <w:r>
        <w:rPr>
          <w:rFonts w:hint="eastAsia" w:ascii="黑体" w:hAnsi="黑体" w:eastAsia="黑体"/>
        </w:rPr>
        <w:t>生态环境现场监测</w:t>
      </w:r>
      <w:r>
        <w:rPr>
          <w:rFonts w:hint="eastAsia" w:ascii="黑体" w:hAnsi="黑体" w:eastAsia="黑体"/>
          <w:lang w:val="en-US" w:eastAsia="zh-CN"/>
        </w:rPr>
        <w:t xml:space="preserve">  </w:t>
      </w:r>
      <w:r>
        <w:rPr>
          <w:rFonts w:hint="default" w:ascii="Times New Roman" w:hAnsi="Times New Roman" w:eastAsia="宋体"/>
          <w:szCs w:val="21"/>
          <w:lang w:val="en-US" w:eastAsia="zh-CN"/>
        </w:rPr>
        <w:t>e</w:t>
      </w:r>
      <w:r>
        <w:rPr>
          <w:rFonts w:hint="default" w:ascii="Times New Roman" w:hAnsi="Times New Roman" w:eastAsia="宋体"/>
          <w:szCs w:val="21"/>
        </w:rPr>
        <w:t>cologic</w:t>
      </w:r>
      <w:r>
        <w:rPr>
          <w:rFonts w:hint="default" w:ascii="Times New Roman" w:hAnsi="Times New Roman" w:eastAsia="宋体"/>
          <w:szCs w:val="21"/>
          <w:lang w:val="en-US" w:eastAsia="zh-CN"/>
        </w:rPr>
        <w:t xml:space="preserve"> environmental field monitoring</w:t>
      </w:r>
    </w:p>
    <w:p w14:paraId="612432F6">
      <w:pPr>
        <w:pStyle w:val="233"/>
        <w:keepNext w:val="0"/>
        <w:keepLines w:val="0"/>
        <w:pageBreakBefore w:val="0"/>
        <w:widowControl/>
        <w:kinsoku/>
        <w:wordWrap/>
        <w:overflowPunct/>
        <w:topLinePunct w:val="0"/>
        <w:bidi w:val="0"/>
        <w:adjustRightInd/>
        <w:snapToGrid/>
        <w:spacing w:line="240" w:lineRule="auto"/>
        <w:textAlignment w:val="auto"/>
        <w:rPr>
          <w:rFonts w:hint="eastAsia"/>
        </w:rPr>
      </w:pPr>
      <w:bookmarkStart w:id="51" w:name="_Toc181087358"/>
      <w:bookmarkStart w:id="52" w:name="_Toc1341426745"/>
      <w:r>
        <w:rPr>
          <w:rFonts w:hint="eastAsia"/>
        </w:rPr>
        <w:t>生态环境现场监测是在现场对水和废水、环境空气和废气、土壤和沉积物、固体废物、生物、噪声、振动等要素开展环境质量和污染排放的监测（检测）活动，包含采样和现场检测。</w:t>
      </w:r>
    </w:p>
    <w:p w14:paraId="6EDDB9FF">
      <w:pPr>
        <w:pStyle w:val="226"/>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420" w:leftChars="0" w:hanging="420" w:firstLineChars="0"/>
        <w:textAlignment w:val="auto"/>
        <w:rPr>
          <w:rFonts w:hint="eastAsia"/>
        </w:rPr>
      </w:pPr>
      <w:r>
        <w:rPr>
          <w:rFonts w:hint="eastAsia" w:ascii="黑体" w:hAnsi="黑体" w:eastAsia="黑体"/>
          <w:lang w:val="en-US" w:eastAsia="zh-CN"/>
        </w:rPr>
        <w:t xml:space="preserve">恶劣天气  </w:t>
      </w:r>
      <w:r>
        <w:rPr>
          <w:rFonts w:hint="default" w:ascii="Times New Roman" w:hAnsi="Times New Roman" w:eastAsia="宋体"/>
          <w:szCs w:val="21"/>
          <w:lang w:val="en-US" w:eastAsia="zh-CN"/>
        </w:rPr>
        <w:t>severe weather</w:t>
      </w:r>
    </w:p>
    <w:p w14:paraId="208311E8">
      <w:pPr>
        <w:keepNext w:val="0"/>
        <w:keepLines w:val="0"/>
        <w:pageBreakBefore w:val="0"/>
        <w:kinsoku/>
        <w:wordWrap/>
        <w:overflowPunct/>
        <w:topLinePunct w:val="0"/>
        <w:autoSpaceDE w:val="0"/>
        <w:autoSpaceDN w:val="0"/>
        <w:bidi w:val="0"/>
        <w:adjustRightInd/>
        <w:snapToGrid/>
        <w:spacing w:line="240" w:lineRule="auto"/>
        <w:ind w:firstLine="420" w:firstLineChars="200"/>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恶劣天气通常被归类为气象灾害，具体包括台风、暴雨（雪）、寒潮、大风（沙尘暴）、低温、高温、干旱、雷电、冰雹、霜冻和大雾等</w:t>
      </w:r>
      <w:r>
        <w:rPr>
          <w:rFonts w:hint="eastAsia"/>
        </w:rPr>
        <w:t>不利于室外活动的天气</w:t>
      </w:r>
      <w:r>
        <w:rPr>
          <w:rFonts w:hint="eastAsia" w:ascii="宋体" w:hAnsi="Times New Roman" w:eastAsia="宋体" w:cs="Times New Roman"/>
          <w:sz w:val="21"/>
          <w:lang w:val="en-US" w:eastAsia="zh-CN" w:bidi="ar-SA"/>
        </w:rPr>
        <w:t>。</w:t>
      </w:r>
    </w:p>
    <w:p w14:paraId="2C6F66E0">
      <w:pPr>
        <w:keepNext w:val="0"/>
        <w:keepLines w:val="0"/>
        <w:pageBreakBefore w:val="0"/>
        <w:kinsoku/>
        <w:wordWrap/>
        <w:overflowPunct/>
        <w:topLinePunct w:val="0"/>
        <w:autoSpaceDE w:val="0"/>
        <w:autoSpaceDN w:val="0"/>
        <w:bidi w:val="0"/>
        <w:adjustRightInd/>
        <w:snapToGrid/>
        <w:spacing w:line="240" w:lineRule="auto"/>
        <w:ind w:firstLine="420" w:firstLineChars="200"/>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[来源：</w:t>
      </w:r>
      <w:r>
        <w:rPr>
          <w:rFonts w:hint="default" w:ascii="Times New Roman"/>
          <w:szCs w:val="21"/>
        </w:rPr>
        <w:t>GB/T 27962</w:t>
      </w:r>
      <w:r>
        <w:rPr>
          <w:rFonts w:hint="eastAsia" w:ascii="宋体" w:hAnsi="Times New Roman" w:eastAsia="宋体" w:cs="Times New Roman"/>
          <w:sz w:val="21"/>
          <w:lang w:val="en-US" w:eastAsia="zh-CN" w:bidi="ar-SA"/>
        </w:rPr>
        <w:t>]</w:t>
      </w:r>
    </w:p>
    <w:p w14:paraId="697FCAE7">
      <w:pPr>
        <w:pStyle w:val="108"/>
        <w:spacing w:before="312" w:after="312"/>
      </w:pPr>
      <w:r>
        <w:rPr>
          <w:rFonts w:hint="eastAsia"/>
          <w:lang w:eastAsia="zh-CN"/>
        </w:rPr>
        <w:t>机构</w:t>
      </w:r>
      <w:bookmarkEnd w:id="51"/>
      <w:bookmarkEnd w:id="52"/>
    </w:p>
    <w:p w14:paraId="5755AD9C">
      <w:pPr>
        <w:pStyle w:val="237"/>
        <w:numPr>
          <w:ilvl w:val="0"/>
          <w:numId w:val="0"/>
        </w:numPr>
        <w:tabs>
          <w:tab w:val="left" w:pos="420"/>
          <w:tab w:val="left" w:pos="590"/>
        </w:tabs>
        <w:spacing w:before="120" w:after="120"/>
        <w:ind w:firstLine="420" w:firstLineChars="200"/>
        <w:rPr>
          <w:rFonts w:hint="eastAsia" w:ascii="Times New Roman" w:eastAsia="宋体"/>
          <w:kern w:val="2"/>
          <w:lang w:eastAsia="zh-CN"/>
        </w:rPr>
      </w:pPr>
      <w:r>
        <w:rPr>
          <w:rFonts w:hint="eastAsia" w:ascii="Times New Roman" w:hAnsi="Times New Roman" w:eastAsia="宋体" w:cs="Times New Roman"/>
          <w:kern w:val="2"/>
          <w:sz w:val="21"/>
          <w:szCs w:val="21"/>
          <w:lang w:val="en-US" w:eastAsia="zh-CN" w:bidi="ar-SA"/>
        </w:rPr>
        <w:t>DB42/T</w:t>
      </w:r>
      <w:r>
        <w:rPr>
          <w:rFonts w:hint="eastAsia" w:ascii="Times New Roman" w:eastAsia="宋体" w:cs="Times New Roman"/>
          <w:kern w:val="2"/>
          <w:sz w:val="21"/>
          <w:szCs w:val="21"/>
          <w:lang w:val="en-US" w:eastAsia="zh-CN" w:bidi="ar-SA"/>
        </w:rPr>
        <w:t xml:space="preserve"> </w:t>
      </w:r>
      <w:r>
        <w:rPr>
          <w:rFonts w:hint="eastAsia" w:ascii="Times New Roman"/>
          <w:szCs w:val="21"/>
          <w:lang w:val="en-US" w:eastAsia="zh-CN"/>
        </w:rPr>
        <w:t>XXXX.1</w:t>
      </w:r>
      <w:r>
        <w:rPr>
          <w:rFonts w:hint="eastAsia" w:ascii="Times New Roman" w:hAnsi="Times New Roman" w:eastAsia="宋体" w:cs="Times New Roman"/>
          <w:bCs w:val="0"/>
          <w:kern w:val="2"/>
          <w:lang w:eastAsia="zh-CN"/>
        </w:rPr>
        <w:t>第</w:t>
      </w:r>
      <w:r>
        <w:rPr>
          <w:rFonts w:hint="eastAsia" w:ascii="Times New Roman" w:hAnsi="Times New Roman" w:eastAsia="宋体" w:cs="Times New Roman"/>
          <w:bCs w:val="0"/>
          <w:kern w:val="2"/>
          <w:lang w:val="en-US" w:eastAsia="zh-CN"/>
        </w:rPr>
        <w:t>4</w:t>
      </w:r>
      <w:r>
        <w:rPr>
          <w:rFonts w:hint="eastAsia" w:ascii="Times New Roman" w:hAnsi="Times New Roman" w:eastAsia="宋体" w:cs="Times New Roman"/>
          <w:bCs w:val="0"/>
          <w:kern w:val="2"/>
        </w:rPr>
        <w:t>部分</w:t>
      </w:r>
      <w:r>
        <w:rPr>
          <w:rFonts w:hint="eastAsia" w:ascii="Times New Roman" w:hAnsi="Times New Roman" w:eastAsia="宋体" w:cs="Times New Roman"/>
          <w:bCs w:val="0"/>
          <w:kern w:val="2"/>
          <w:lang w:val="en-US" w:eastAsia="zh-CN"/>
        </w:rPr>
        <w:t>的内容适用</w:t>
      </w:r>
      <w:r>
        <w:rPr>
          <w:rFonts w:hint="eastAsia" w:ascii="Times New Roman" w:hAnsi="Times New Roman" w:eastAsia="宋体" w:cs="Times New Roman"/>
          <w:bCs w:val="0"/>
          <w:kern w:val="2"/>
        </w:rPr>
        <w:t>。</w:t>
      </w:r>
    </w:p>
    <w:p w14:paraId="33D78C61">
      <w:pPr>
        <w:pStyle w:val="108"/>
        <w:keepNext w:val="0"/>
        <w:keepLines w:val="0"/>
        <w:pageBreakBefore w:val="0"/>
        <w:widowControl/>
        <w:kinsoku/>
        <w:wordWrap/>
        <w:overflowPunct/>
        <w:topLinePunct w:val="0"/>
        <w:autoSpaceDE/>
        <w:autoSpaceDN/>
        <w:bidi w:val="0"/>
        <w:adjustRightInd/>
        <w:snapToGrid/>
        <w:spacing w:before="312" w:after="312"/>
        <w:ind w:left="0" w:leftChars="0" w:firstLineChars="0"/>
        <w:textAlignment w:val="auto"/>
        <w:rPr>
          <w:rFonts w:hint="eastAsia" w:ascii="宋体" w:hAnsi="Times New Roman" w:eastAsia="宋体" w:cs="Times New Roman"/>
          <w:sz w:val="21"/>
          <w:lang w:val="en-US" w:eastAsia="zh-CN" w:bidi="ar-SA"/>
        </w:rPr>
      </w:pPr>
      <w:r>
        <w:rPr>
          <w:rFonts w:hint="eastAsia"/>
          <w:lang w:eastAsia="zh-CN"/>
        </w:rPr>
        <w:t>人员</w:t>
      </w:r>
    </w:p>
    <w:p w14:paraId="26539520">
      <w:pPr>
        <w:pStyle w:val="109"/>
        <w:keepNext w:val="0"/>
        <w:keepLines w:val="0"/>
        <w:pageBreakBefore w:val="0"/>
        <w:widowControl/>
        <w:numPr>
          <w:ilvl w:val="-1"/>
          <w:numId w:val="0"/>
        </w:numPr>
        <w:kinsoku/>
        <w:wordWrap/>
        <w:overflowPunct/>
        <w:topLinePunct w:val="0"/>
        <w:autoSpaceDE/>
        <w:autoSpaceDN/>
        <w:bidi w:val="0"/>
        <w:adjustRightInd/>
        <w:snapToGrid/>
        <w:spacing w:line="240" w:lineRule="exact"/>
        <w:ind w:left="0" w:leftChars="0" w:firstLine="420" w:firstLineChars="200"/>
        <w:textAlignment w:val="auto"/>
        <w:rPr>
          <w:rFonts w:hint="eastAsia" w:ascii="Times New Roman" w:eastAsia="宋体" w:cs="Times New Roman"/>
          <w:kern w:val="2"/>
          <w:sz w:val="21"/>
          <w:szCs w:val="21"/>
          <w:lang w:val="en-US" w:eastAsia="zh-CN" w:bidi="ar-SA"/>
        </w:rPr>
      </w:pPr>
      <w:r>
        <w:rPr>
          <w:rFonts w:hint="eastAsia" w:ascii="Times New Roman" w:hAnsi="Times New Roman" w:eastAsia="宋体" w:cs="Times New Roman"/>
          <w:bCs w:val="0"/>
          <w:kern w:val="2"/>
          <w:szCs w:val="21"/>
          <w:lang w:val="en-US" w:eastAsia="zh-CN"/>
        </w:rPr>
        <w:t>D</w:t>
      </w:r>
      <w:r>
        <w:rPr>
          <w:rFonts w:hint="eastAsia" w:ascii="Times New Roman" w:eastAsia="宋体"/>
          <w:kern w:val="2"/>
          <w:szCs w:val="21"/>
        </w:rPr>
        <w:t>B42/T</w:t>
      </w:r>
      <w:r>
        <w:rPr>
          <w:rFonts w:hint="eastAsia" w:ascii="Times New Roman" w:eastAsia="宋体"/>
          <w:kern w:val="2"/>
          <w:szCs w:val="21"/>
          <w:lang w:val="en-US" w:eastAsia="zh-CN"/>
        </w:rPr>
        <w:t xml:space="preserve"> </w:t>
      </w:r>
      <w:r>
        <w:rPr>
          <w:rFonts w:hint="eastAsia" w:ascii="Times New Roman"/>
          <w:szCs w:val="21"/>
          <w:lang w:val="en-US" w:eastAsia="zh-CN"/>
        </w:rPr>
        <w:t>XXXX.1</w:t>
      </w:r>
      <w:r>
        <w:rPr>
          <w:rFonts w:hint="eastAsia" w:ascii="Times New Roman" w:eastAsia="宋体"/>
          <w:kern w:val="2"/>
          <w:szCs w:val="21"/>
        </w:rPr>
        <w:t>第5部分的内容适用</w:t>
      </w:r>
      <w:r>
        <w:rPr>
          <w:rFonts w:hint="eastAsia" w:ascii="Times New Roman" w:eastAsia="宋体"/>
          <w:kern w:val="2"/>
          <w:szCs w:val="21"/>
          <w:lang w:eastAsia="zh-CN"/>
        </w:rPr>
        <w:t>。</w:t>
      </w:r>
    </w:p>
    <w:p w14:paraId="7DB5A122">
      <w:pPr>
        <w:pStyle w:val="109"/>
        <w:keepNext w:val="0"/>
        <w:keepLines w:val="0"/>
        <w:pageBreakBefore w:val="0"/>
        <w:widowControl/>
        <w:numPr>
          <w:ilvl w:val="-1"/>
          <w:numId w:val="0"/>
        </w:numPr>
        <w:kinsoku/>
        <w:wordWrap/>
        <w:overflowPunct/>
        <w:topLinePunct w:val="0"/>
        <w:autoSpaceDE/>
        <w:autoSpaceDN/>
        <w:bidi w:val="0"/>
        <w:adjustRightInd/>
        <w:snapToGrid/>
        <w:spacing w:line="240" w:lineRule="exact"/>
        <w:ind w:left="0" w:leftChars="0" w:firstLine="420" w:firstLineChars="200"/>
        <w:textAlignment w:val="auto"/>
        <w:rPr>
          <w:rFonts w:hint="eastAsia" w:ascii="Times New Roman" w:eastAsia="宋体" w:cs="Times New Roman"/>
          <w:kern w:val="2"/>
          <w:sz w:val="21"/>
          <w:szCs w:val="21"/>
          <w:lang w:val="en-US" w:eastAsia="zh-CN" w:bidi="ar-SA"/>
        </w:rPr>
      </w:pPr>
      <w:r>
        <w:rPr>
          <w:rFonts w:hint="eastAsia" w:ascii="Times New Roman" w:eastAsia="宋体" w:cs="Times New Roman"/>
          <w:kern w:val="2"/>
          <w:sz w:val="21"/>
          <w:szCs w:val="21"/>
          <w:lang w:val="en-US" w:eastAsia="zh-CN" w:bidi="ar-SA"/>
        </w:rPr>
        <w:t>增加下述内容：</w:t>
      </w:r>
    </w:p>
    <w:p w14:paraId="5605C284">
      <w:pPr>
        <w:pStyle w:val="109"/>
        <w:keepNext w:val="0"/>
        <w:keepLines w:val="0"/>
        <w:pageBreakBefore w:val="0"/>
        <w:widowControl/>
        <w:numPr>
          <w:ilvl w:val="-1"/>
          <w:numId w:val="0"/>
        </w:numPr>
        <w:kinsoku/>
        <w:wordWrap/>
        <w:overflowPunct/>
        <w:topLinePunct w:val="0"/>
        <w:autoSpaceDE/>
        <w:autoSpaceDN/>
        <w:bidi w:val="0"/>
        <w:adjustRightInd/>
        <w:snapToGrid/>
        <w:spacing w:line="240" w:lineRule="exact"/>
        <w:ind w:left="0" w:leftChars="0" w:firstLine="0" w:firstLineChars="0"/>
        <w:textAlignment w:val="auto"/>
        <w:rPr>
          <w:rFonts w:hint="eastAsia" w:ascii="宋体" w:hAnsi="Times New Roman" w:eastAsia="宋体" w:cs="Times New Roman"/>
          <w:sz w:val="21"/>
          <w:lang w:val="en-US" w:eastAsia="zh-CN" w:bidi="ar-SA"/>
        </w:rPr>
      </w:pPr>
      <w:r>
        <w:rPr>
          <w:rFonts w:hint="eastAsia" w:ascii="Times New Roman" w:eastAsia="宋体"/>
          <w:kern w:val="2"/>
          <w:szCs w:val="21"/>
          <w:lang w:val="en-US" w:eastAsia="zh-CN"/>
        </w:rPr>
        <w:t xml:space="preserve">    </w:t>
      </w:r>
      <w:r>
        <w:rPr>
          <w:rFonts w:hint="eastAsia" w:ascii="Times New Roman" w:eastAsia="宋体"/>
          <w:kern w:val="2"/>
          <w:szCs w:val="21"/>
        </w:rPr>
        <w:t>现场测试和采样应至少有 2 名监测人员在场</w:t>
      </w:r>
      <w:r>
        <w:rPr>
          <w:rFonts w:hint="eastAsia" w:ascii="Times New Roman" w:eastAsia="宋体" w:cs="Times New Roman"/>
          <w:kern w:val="2"/>
          <w:sz w:val="21"/>
          <w:szCs w:val="21"/>
          <w:lang w:val="en-US" w:eastAsia="zh-CN" w:bidi="ar-SA"/>
        </w:rPr>
        <w:t>。</w:t>
      </w:r>
      <w:r>
        <w:rPr>
          <w:rFonts w:hint="eastAsia" w:ascii="Times New Roman" w:hAnsi="Times New Roman" w:eastAsia="宋体"/>
          <w:kern w:val="2"/>
          <w:szCs w:val="21"/>
        </w:rPr>
        <w:t>无人机</w:t>
      </w:r>
      <w:r>
        <w:rPr>
          <w:rFonts w:hint="eastAsia" w:ascii="Times New Roman" w:hAnsi="Times New Roman" w:eastAsia="宋体"/>
          <w:kern w:val="2"/>
          <w:szCs w:val="21"/>
          <w:lang w:val="en-US" w:eastAsia="zh-CN"/>
        </w:rPr>
        <w:t>操作人员需</w:t>
      </w:r>
      <w:r>
        <w:rPr>
          <w:rFonts w:hint="eastAsia" w:ascii="Times New Roman" w:eastAsia="宋体"/>
          <w:kern w:val="2"/>
          <w:szCs w:val="21"/>
        </w:rPr>
        <w:t>接受安全操控培训，并取得相应民用无人驾驶航空器操控员执照</w:t>
      </w:r>
      <w:r>
        <w:rPr>
          <w:rFonts w:hint="eastAsia" w:ascii="Times New Roman" w:hAnsi="Times New Roman" w:eastAsia="宋体"/>
          <w:kern w:val="2"/>
          <w:szCs w:val="21"/>
          <w:lang w:val="en-US" w:eastAsia="zh-CN"/>
        </w:rPr>
        <w:t>。</w:t>
      </w:r>
    </w:p>
    <w:p w14:paraId="190CE775">
      <w:pPr>
        <w:pStyle w:val="108"/>
        <w:bidi w:val="0"/>
        <w:ind w:left="0" w:leftChars="0" w:firstLine="0" w:firstLineChars="0"/>
      </w:pPr>
      <w:r>
        <w:rPr>
          <w:rFonts w:hint="eastAsia"/>
        </w:rPr>
        <w:t>场所环境</w:t>
      </w:r>
    </w:p>
    <w:p w14:paraId="5A135CBC">
      <w:pPr>
        <w:pStyle w:val="59"/>
        <w:rPr>
          <w:rFonts w:hint="eastAsia" w:ascii="Times New Roman" w:eastAsia="宋体"/>
          <w:kern w:val="2"/>
          <w:szCs w:val="21"/>
          <w:lang w:val="en-US" w:eastAsia="zh-CN"/>
        </w:rPr>
      </w:pPr>
      <w:r>
        <w:rPr>
          <w:rFonts w:hint="eastAsia" w:ascii="Times New Roman"/>
          <w:kern w:val="2"/>
          <w:szCs w:val="21"/>
        </w:rPr>
        <w:t>DB42/T</w:t>
      </w:r>
      <w:r>
        <w:rPr>
          <w:rFonts w:hint="eastAsia" w:ascii="Times New Roman"/>
          <w:szCs w:val="21"/>
          <w:lang w:val="en-US" w:eastAsia="zh-CN"/>
        </w:rPr>
        <w:t xml:space="preserve"> XXXX.1</w:t>
      </w:r>
      <w:r>
        <w:rPr>
          <w:rFonts w:hint="eastAsia" w:ascii="Times New Roman"/>
          <w:kern w:val="2"/>
          <w:szCs w:val="21"/>
        </w:rPr>
        <w:t>第</w:t>
      </w:r>
      <w:r>
        <w:rPr>
          <w:rFonts w:hint="eastAsia" w:ascii="Times New Roman"/>
          <w:kern w:val="2"/>
          <w:szCs w:val="21"/>
          <w:lang w:val="en-US" w:eastAsia="zh-CN"/>
        </w:rPr>
        <w:t>6</w:t>
      </w:r>
      <w:r>
        <w:rPr>
          <w:rFonts w:hint="eastAsia" w:ascii="Times New Roman"/>
          <w:kern w:val="2"/>
          <w:szCs w:val="21"/>
        </w:rPr>
        <w:t>部分的内容适用</w:t>
      </w:r>
      <w:r>
        <w:rPr>
          <w:rFonts w:hint="eastAsia" w:ascii="Times New Roman"/>
          <w:kern w:val="2"/>
          <w:szCs w:val="21"/>
          <w:lang w:eastAsia="zh-CN"/>
        </w:rPr>
        <w:t>。</w:t>
      </w:r>
    </w:p>
    <w:p w14:paraId="6DBF3DD6">
      <w:pPr>
        <w:pStyle w:val="109"/>
        <w:bidi w:val="0"/>
        <w:ind w:left="0" w:leftChars="0" w:firstLine="0" w:firstLineChars="0"/>
      </w:pPr>
      <w:r>
        <w:rPr>
          <w:rFonts w:hint="eastAsia"/>
          <w:lang w:eastAsia="zh-CN"/>
        </w:rPr>
        <w:t>水环境监测</w:t>
      </w:r>
    </w:p>
    <w:p w14:paraId="6C873507">
      <w:pPr>
        <w:pStyle w:val="169"/>
        <w:numPr>
          <w:ilvl w:val="3"/>
          <w:numId w:val="37"/>
        </w:numPr>
        <w:rPr>
          <w:rFonts w:hint="eastAsia" w:ascii="黑体" w:hAnsi="Times New Roman" w:eastAsia="黑体" w:cs="Times New Roman"/>
          <w:sz w:val="21"/>
          <w:lang w:val="en-US" w:eastAsia="zh-CN" w:bidi="ar-SA"/>
        </w:rPr>
      </w:pPr>
      <w:r>
        <w:rPr>
          <w:rFonts w:hint="eastAsia" w:ascii="黑体" w:hAnsi="Times New Roman" w:eastAsia="黑体" w:cs="Times New Roman"/>
          <w:sz w:val="21"/>
          <w:lang w:val="en-US" w:eastAsia="zh-CN" w:bidi="ar-SA"/>
        </w:rPr>
        <w:t>地表水监测</w:t>
      </w:r>
    </w:p>
    <w:p w14:paraId="77C96F37">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地表水现场监测的环境地点涉及到水面与</w:t>
      </w:r>
      <w:r>
        <w:rPr>
          <w:rFonts w:hint="eastAsia" w:ascii="宋体" w:hAnsi="Times New Roman" w:cs="Times New Roman"/>
          <w:sz w:val="21"/>
          <w:lang w:val="en-US" w:eastAsia="zh-CN" w:bidi="ar-SA"/>
        </w:rPr>
        <w:t>岸边</w:t>
      </w:r>
      <w:r>
        <w:rPr>
          <w:rFonts w:hint="eastAsia" w:ascii="宋体" w:hAnsi="Times New Roman" w:eastAsia="宋体" w:cs="Times New Roman"/>
          <w:sz w:val="21"/>
          <w:lang w:val="en-US" w:eastAsia="zh-CN" w:bidi="ar-SA"/>
        </w:rPr>
        <w:t>。</w:t>
      </w:r>
    </w:p>
    <w:p w14:paraId="70B471E3">
      <w:pPr>
        <w:keepNext w:val="0"/>
        <w:keepLines w:val="0"/>
        <w:pageBreakBefore w:val="0"/>
        <w:kinsoku/>
        <w:wordWrap/>
        <w:overflowPunct/>
        <w:topLinePunct w:val="0"/>
        <w:autoSpaceDE w:val="0"/>
        <w:autoSpaceDN w:val="0"/>
        <w:bidi w:val="0"/>
        <w:adjustRightInd/>
        <w:snapToGrid/>
        <w:ind w:firstLine="420" w:firstLineChars="200"/>
        <w:jc w:val="both"/>
        <w:textAlignment w:val="auto"/>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[来源：</w:t>
      </w:r>
      <w:r>
        <w:rPr>
          <w:rFonts w:hint="eastAsia" w:ascii="Times New Roman" w:hAnsi="Times New Roman" w:eastAsia="宋体" w:cs="Times New Roman"/>
          <w:sz w:val="21"/>
          <w:szCs w:val="21"/>
          <w:lang w:val="en-US" w:eastAsia="zh-CN" w:bidi="ar-SA"/>
        </w:rPr>
        <w:t>HJ 91.2</w:t>
      </w:r>
      <w:r>
        <w:rPr>
          <w:rFonts w:hint="eastAsia" w:ascii="宋体" w:hAnsi="Times New Roman" w:eastAsia="宋体" w:cs="Times New Roman"/>
          <w:sz w:val="21"/>
          <w:lang w:val="en-US" w:eastAsia="zh-CN" w:bidi="ar-SA"/>
        </w:rPr>
        <w:t>]</w:t>
      </w:r>
    </w:p>
    <w:p w14:paraId="4838B649">
      <w:pPr>
        <w:pStyle w:val="69"/>
        <w:bidi w:val="0"/>
        <w:ind w:left="0" w:leftChars="0" w:firstLine="0" w:firstLineChars="0"/>
        <w:rPr>
          <w:rFonts w:hint="eastAsia"/>
          <w:lang w:val="en-US" w:eastAsia="zh-CN"/>
        </w:rPr>
      </w:pPr>
      <w:r>
        <w:rPr>
          <w:rFonts w:hint="eastAsia"/>
          <w:lang w:val="en-US" w:eastAsia="zh-CN"/>
        </w:rPr>
        <w:t>地下水监测</w:t>
      </w:r>
    </w:p>
    <w:p w14:paraId="70C65421">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地下水现场监测的采样地点为环境监测井。监测井的分布位置参考</w:t>
      </w:r>
      <w:r>
        <w:rPr>
          <w:rFonts w:hint="eastAsia" w:ascii="Times New Roman" w:hAnsi="Times New Roman" w:eastAsia="宋体" w:cs="Times New Roman"/>
          <w:sz w:val="21"/>
          <w:szCs w:val="21"/>
          <w:lang w:val="en-US" w:eastAsia="zh-CN" w:bidi="ar-SA"/>
        </w:rPr>
        <w:t>HJ 164</w:t>
      </w:r>
      <w:r>
        <w:rPr>
          <w:rFonts w:hint="eastAsia" w:ascii="宋体" w:hAnsi="Times New Roman" w:eastAsia="宋体" w:cs="Times New Roman"/>
          <w:sz w:val="21"/>
          <w:lang w:val="en-US" w:eastAsia="zh-CN" w:bidi="ar-SA"/>
        </w:rPr>
        <w:t>第</w:t>
      </w:r>
      <w:r>
        <w:rPr>
          <w:rFonts w:hint="eastAsia" w:ascii="Times New Roman" w:hAnsi="Times New Roman" w:eastAsia="宋体" w:cs="Times New Roman"/>
          <w:sz w:val="21"/>
          <w:lang w:val="en-US" w:eastAsia="zh-CN" w:bidi="ar-SA"/>
        </w:rPr>
        <w:t>4</w:t>
      </w:r>
      <w:r>
        <w:rPr>
          <w:rFonts w:hint="eastAsia" w:ascii="Times New Roman" w:hAnsi="Times New Roman" w:cs="Times New Roman"/>
          <w:sz w:val="21"/>
          <w:lang w:val="en-US" w:eastAsia="zh-CN" w:bidi="ar-SA"/>
        </w:rPr>
        <w:t>.3</w:t>
      </w:r>
      <w:r>
        <w:rPr>
          <w:rFonts w:hint="eastAsia" w:ascii="宋体" w:hAnsi="Times New Roman" w:eastAsia="宋体" w:cs="Times New Roman"/>
          <w:sz w:val="21"/>
          <w:lang w:val="en-US" w:eastAsia="zh-CN" w:bidi="ar-SA"/>
        </w:rPr>
        <w:t>部分。</w:t>
      </w:r>
    </w:p>
    <w:p w14:paraId="1EAB851C">
      <w:pPr>
        <w:pStyle w:val="69"/>
        <w:bidi w:val="0"/>
        <w:ind w:left="0" w:leftChars="0" w:firstLine="0" w:firstLineChars="0"/>
        <w:rPr>
          <w:rFonts w:hint="eastAsia"/>
          <w:lang w:val="en-US" w:eastAsia="zh-CN"/>
        </w:rPr>
      </w:pPr>
      <w:r>
        <w:rPr>
          <w:rFonts w:hint="eastAsia"/>
          <w:lang w:val="en-US" w:eastAsia="zh-CN"/>
        </w:rPr>
        <w:t>废水监测</w:t>
      </w:r>
    </w:p>
    <w:p w14:paraId="2AFC52B9">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废水监测包括生活废水监测</w:t>
      </w:r>
      <w:r>
        <w:rPr>
          <w:rFonts w:hint="eastAsia" w:ascii="宋体" w:hAnsi="Times New Roman" w:cs="Times New Roman"/>
          <w:sz w:val="21"/>
          <w:lang w:val="en-US" w:eastAsia="zh-CN" w:bidi="ar-SA"/>
        </w:rPr>
        <w:t>、</w:t>
      </w:r>
      <w:r>
        <w:rPr>
          <w:rFonts w:hint="eastAsia" w:ascii="宋体" w:hAnsi="Times New Roman" w:eastAsia="宋体" w:cs="Times New Roman"/>
          <w:sz w:val="21"/>
          <w:lang w:val="en-US" w:eastAsia="zh-CN" w:bidi="ar-SA"/>
        </w:rPr>
        <w:t>工业废水监测与医疗废水监测，监测地点涉及</w:t>
      </w:r>
      <w:r>
        <w:rPr>
          <w:rFonts w:hint="eastAsia" w:ascii="宋体" w:hAnsi="Times New Roman" w:cs="Times New Roman"/>
          <w:sz w:val="21"/>
          <w:lang w:val="en-US" w:eastAsia="zh-CN" w:bidi="ar-SA"/>
        </w:rPr>
        <w:t>污水</w:t>
      </w:r>
      <w:r>
        <w:rPr>
          <w:rFonts w:hint="eastAsia" w:ascii="宋体" w:hAnsi="Times New Roman" w:eastAsia="宋体" w:cs="Times New Roman"/>
          <w:sz w:val="21"/>
          <w:lang w:val="en-US" w:eastAsia="zh-CN" w:bidi="ar-SA"/>
        </w:rPr>
        <w:t>处理厂、厂矿工业区、医院、雨水管道等。</w:t>
      </w:r>
    </w:p>
    <w:p w14:paraId="3B1D4DCB">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[来源：</w:t>
      </w:r>
      <w:r>
        <w:rPr>
          <w:rFonts w:hint="eastAsia" w:ascii="Times New Roman" w:hAnsi="Times New Roman" w:eastAsia="宋体" w:cs="Times New Roman"/>
          <w:sz w:val="21"/>
          <w:szCs w:val="21"/>
          <w:lang w:val="en-US" w:eastAsia="zh-CN" w:bidi="ar-SA"/>
        </w:rPr>
        <w:t>HJ 91.1</w:t>
      </w:r>
      <w:r>
        <w:rPr>
          <w:rFonts w:hint="eastAsia" w:ascii="宋体" w:hAnsi="Times New Roman" w:eastAsia="宋体" w:cs="Times New Roman"/>
          <w:sz w:val="21"/>
          <w:lang w:val="en-US" w:eastAsia="zh-CN" w:bidi="ar-SA"/>
        </w:rPr>
        <w:t>与</w:t>
      </w:r>
      <w:r>
        <w:rPr>
          <w:rFonts w:hint="eastAsia" w:ascii="Times New Roman" w:hAnsi="Times New Roman" w:cs="Times New Roman"/>
          <w:sz w:val="21"/>
          <w:lang w:val="en-US" w:eastAsia="zh-CN" w:bidi="ar-SA"/>
        </w:rPr>
        <w:t>HJ</w:t>
      </w:r>
      <w:r>
        <w:rPr>
          <w:rFonts w:hint="eastAsia" w:ascii="Times New Roman" w:hAnsi="Times New Roman" w:eastAsia="宋体" w:cs="Times New Roman"/>
          <w:sz w:val="21"/>
          <w:lang w:val="en-US" w:eastAsia="zh-CN" w:bidi="ar-SA"/>
        </w:rPr>
        <w:t xml:space="preserve"> 1405]</w:t>
      </w:r>
    </w:p>
    <w:p w14:paraId="3F3864BC">
      <w:pPr>
        <w:pStyle w:val="109"/>
        <w:bidi w:val="0"/>
        <w:ind w:left="0" w:leftChars="0" w:firstLine="0" w:firstLineChars="0"/>
        <w:rPr>
          <w:rFonts w:hint="eastAsia"/>
          <w:lang w:val="en-US" w:eastAsia="zh-CN"/>
        </w:rPr>
      </w:pPr>
      <w:r>
        <w:rPr>
          <w:rFonts w:hint="eastAsia"/>
          <w:lang w:val="en-US" w:eastAsia="zh-CN"/>
        </w:rPr>
        <w:t>空气监测</w:t>
      </w:r>
    </w:p>
    <w:p w14:paraId="6C1AA365">
      <w:pPr>
        <w:pStyle w:val="69"/>
        <w:bidi w:val="0"/>
        <w:ind w:left="0" w:leftChars="0" w:firstLine="0" w:firstLineChars="0"/>
        <w:rPr>
          <w:rFonts w:hint="eastAsia"/>
          <w:lang w:val="en-US" w:eastAsia="zh-CN"/>
        </w:rPr>
      </w:pPr>
      <w:r>
        <w:rPr>
          <w:rFonts w:hint="eastAsia"/>
          <w:lang w:val="en-US" w:eastAsia="zh-CN"/>
        </w:rPr>
        <w:t>环境空气监测</w:t>
      </w:r>
    </w:p>
    <w:p w14:paraId="56EB5EC8">
      <w:pPr>
        <w:autoSpaceDE w:val="0"/>
        <w:autoSpaceDN w:val="0"/>
        <w:ind w:firstLine="420" w:firstLineChars="200"/>
        <w:jc w:val="both"/>
        <w:rPr>
          <w:rFonts w:hint="eastAsia"/>
          <w:lang w:val="en-US" w:eastAsia="zh-CN"/>
        </w:rPr>
      </w:pPr>
      <w:r>
        <w:rPr>
          <w:rFonts w:hint="eastAsia" w:ascii="宋体" w:hAnsi="Times New Roman" w:cs="Times New Roman"/>
          <w:sz w:val="21"/>
          <w:lang w:val="en-US" w:eastAsia="zh-CN" w:bidi="ar-SA"/>
        </w:rPr>
        <w:t>环境空气监测</w:t>
      </w:r>
      <w:r>
        <w:rPr>
          <w:rFonts w:hint="eastAsia" w:ascii="宋体" w:hAnsi="Times New Roman" w:eastAsia="宋体" w:cs="Times New Roman"/>
          <w:sz w:val="21"/>
          <w:lang w:val="en-US" w:eastAsia="zh-CN" w:bidi="ar-SA"/>
        </w:rPr>
        <w:t>参考</w:t>
      </w:r>
      <w:r>
        <w:rPr>
          <w:rFonts w:hint="eastAsia" w:ascii="Times New Roman" w:hAnsi="Times New Roman" w:eastAsia="宋体" w:cs="Times New Roman"/>
          <w:sz w:val="21"/>
          <w:szCs w:val="21"/>
          <w:lang w:val="en-US" w:eastAsia="zh-CN" w:bidi="ar-SA"/>
        </w:rPr>
        <w:t>HJ 664</w:t>
      </w:r>
      <w:r>
        <w:rPr>
          <w:rFonts w:hint="eastAsia" w:ascii="Times New Roman" w:hAnsi="Times New Roman" w:cs="Times New Roman"/>
          <w:sz w:val="21"/>
          <w:szCs w:val="21"/>
          <w:lang w:val="en-US" w:eastAsia="zh-CN" w:bidi="ar-SA"/>
        </w:rPr>
        <w:t>第</w:t>
      </w:r>
      <w:r>
        <w:rPr>
          <w:rFonts w:hint="eastAsia" w:ascii="Times New Roman" w:hAnsi="Times New Roman" w:cs="Times New Roman"/>
          <w:sz w:val="21"/>
          <w:lang w:val="en-US" w:eastAsia="zh-CN" w:bidi="ar-SA"/>
        </w:rPr>
        <w:t>5</w:t>
      </w:r>
      <w:r>
        <w:rPr>
          <w:rFonts w:hint="eastAsia" w:ascii="Times New Roman" w:hAnsi="Times New Roman" w:eastAsia="宋体" w:cs="Times New Roman"/>
          <w:sz w:val="21"/>
          <w:lang w:val="en-US" w:eastAsia="zh-CN" w:bidi="ar-SA"/>
        </w:rPr>
        <w:t>.1-</w:t>
      </w:r>
      <w:r>
        <w:rPr>
          <w:rFonts w:hint="eastAsia" w:ascii="Times New Roman" w:hAnsi="Times New Roman" w:cs="Times New Roman"/>
          <w:sz w:val="21"/>
          <w:lang w:val="en-US" w:eastAsia="zh-CN" w:bidi="ar-SA"/>
        </w:rPr>
        <w:t>5</w:t>
      </w:r>
      <w:r>
        <w:rPr>
          <w:rFonts w:hint="eastAsia"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4</w:t>
      </w:r>
      <w:r>
        <w:rPr>
          <w:rFonts w:hint="eastAsia" w:ascii="宋体" w:hAnsi="Times New Roman" w:eastAsia="宋体" w:cs="Times New Roman"/>
          <w:sz w:val="21"/>
          <w:lang w:val="en-US" w:eastAsia="zh-CN" w:bidi="ar-SA"/>
        </w:rPr>
        <w:t>部分。</w:t>
      </w:r>
    </w:p>
    <w:p w14:paraId="0E7D5507">
      <w:pPr>
        <w:pStyle w:val="69"/>
        <w:bidi w:val="0"/>
        <w:ind w:left="0" w:leftChars="0" w:firstLine="0" w:firstLineChars="0"/>
        <w:rPr>
          <w:rFonts w:hint="eastAsia"/>
          <w:lang w:val="en-US" w:eastAsia="zh-CN"/>
        </w:rPr>
      </w:pPr>
      <w:r>
        <w:rPr>
          <w:rFonts w:hint="eastAsia"/>
          <w:lang w:val="en-US" w:eastAsia="zh-CN"/>
        </w:rPr>
        <w:t>废气监测</w:t>
      </w:r>
    </w:p>
    <w:p w14:paraId="2F81ADB7">
      <w:pPr>
        <w:autoSpaceDE w:val="0"/>
        <w:autoSpaceDN w:val="0"/>
        <w:ind w:firstLine="420" w:firstLineChars="200"/>
        <w:jc w:val="both"/>
        <w:rPr>
          <w:rFonts w:hint="default" w:ascii="宋体" w:hAnsi="Times New Roman" w:eastAsia="宋体" w:cs="Times New Roman"/>
          <w:sz w:val="21"/>
          <w:lang w:val="en-US" w:eastAsia="zh-CN" w:bidi="ar-SA"/>
        </w:rPr>
      </w:pPr>
      <w:r>
        <w:rPr>
          <w:rFonts w:hint="eastAsia" w:ascii="Times New Roman" w:hAnsi="Times New Roman" w:eastAsia="宋体" w:cs="Times New Roman"/>
          <w:sz w:val="21"/>
          <w:szCs w:val="21"/>
          <w:lang w:val="en-US" w:eastAsia="zh-CN" w:bidi="ar-SA"/>
        </w:rPr>
        <w:t>废气监测包括有组织排放与无组织排放。有组织排放的监测</w:t>
      </w:r>
      <w:r>
        <w:rPr>
          <w:rFonts w:hint="eastAsia" w:ascii="Times New Roman" w:hAnsi="Times New Roman" w:cs="Times New Roman"/>
          <w:sz w:val="21"/>
          <w:szCs w:val="21"/>
          <w:lang w:val="en-US" w:eastAsia="zh-CN" w:bidi="ar-SA"/>
        </w:rPr>
        <w:t>场所</w:t>
      </w:r>
      <w:r>
        <w:rPr>
          <w:rFonts w:hint="eastAsia" w:ascii="Times New Roman" w:hAnsi="Times New Roman" w:eastAsia="宋体" w:cs="Times New Roman"/>
          <w:sz w:val="21"/>
          <w:szCs w:val="21"/>
          <w:lang w:val="en-US" w:eastAsia="zh-CN" w:bidi="ar-SA"/>
        </w:rPr>
        <w:t>位于厂区内部排气筒</w:t>
      </w:r>
      <w:r>
        <w:rPr>
          <w:rFonts w:hint="eastAsia" w:ascii="宋体" w:hAnsi="Times New Roman" w:eastAsia="宋体" w:cs="Times New Roman"/>
          <w:sz w:val="21"/>
          <w:lang w:val="en-US" w:eastAsia="zh-CN" w:bidi="ar-SA"/>
        </w:rPr>
        <w:t>。无组织排放采样地点根据确定的污染源所在地，参考</w:t>
      </w:r>
      <w:r>
        <w:rPr>
          <w:rFonts w:hint="eastAsia" w:ascii="Times New Roman" w:hAnsi="Times New Roman" w:eastAsia="宋体" w:cs="Times New Roman"/>
          <w:sz w:val="21"/>
          <w:lang w:val="en-US" w:eastAsia="zh-CN" w:bidi="ar-SA"/>
        </w:rPr>
        <w:t>GB 16297（附录C）</w:t>
      </w:r>
      <w:r>
        <w:rPr>
          <w:rFonts w:hint="eastAsia" w:ascii="宋体" w:hAnsi="Times New Roman" w:eastAsia="宋体" w:cs="Times New Roman"/>
          <w:sz w:val="21"/>
          <w:lang w:val="en-US" w:eastAsia="zh-CN" w:bidi="ar-SA"/>
        </w:rPr>
        <w:t>进行布点监测。</w:t>
      </w:r>
      <w:r>
        <w:rPr>
          <w:rFonts w:hint="eastAsia" w:ascii="Times New Roman" w:hAnsi="Times New Roman" w:cs="Times New Roman"/>
          <w:sz w:val="21"/>
          <w:lang w:val="en-US" w:eastAsia="zh-CN" w:bidi="ar-SA"/>
        </w:rPr>
        <w:t>挥发性有机物无组织排放参照</w:t>
      </w:r>
      <w:r>
        <w:rPr>
          <w:rFonts w:hint="eastAsia" w:ascii="Times New Roman" w:hAnsi="Times New Roman"/>
        </w:rPr>
        <w:t>GB 37822</w:t>
      </w:r>
      <w:r>
        <w:rPr>
          <w:rFonts w:hint="eastAsia" w:ascii="Times New Roman" w:hAnsi="Times New Roman" w:eastAsia="宋体" w:cs="Times New Roman"/>
          <w:sz w:val="21"/>
          <w:lang w:val="en-US" w:eastAsia="zh-CN" w:bidi="ar-SA"/>
        </w:rPr>
        <w:t>（附录</w:t>
      </w:r>
      <w:r>
        <w:rPr>
          <w:rFonts w:hint="eastAsia" w:ascii="Times New Roman" w:hAnsi="Times New Roman" w:cs="Times New Roman"/>
          <w:sz w:val="21"/>
          <w:lang w:val="en-US" w:eastAsia="zh-CN" w:bidi="ar-SA"/>
        </w:rPr>
        <w:t>A</w:t>
      </w:r>
      <w:r>
        <w:rPr>
          <w:rFonts w:hint="eastAsia"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进行布点监测。</w:t>
      </w:r>
    </w:p>
    <w:p w14:paraId="190F1E0E">
      <w:pPr>
        <w:autoSpaceDE w:val="0"/>
        <w:autoSpaceDN w:val="0"/>
        <w:ind w:firstLine="420" w:firstLineChars="200"/>
        <w:jc w:val="both"/>
        <w:rPr>
          <w:rFonts w:hint="eastAsia"/>
          <w:lang w:val="en-US" w:eastAsia="zh-CN"/>
        </w:rPr>
      </w:pPr>
      <w:r>
        <w:rPr>
          <w:rFonts w:hint="eastAsia" w:ascii="宋体" w:hAnsi="Times New Roman" w:eastAsia="宋体" w:cs="Times New Roman"/>
          <w:sz w:val="21"/>
          <w:lang w:val="en-US" w:eastAsia="zh-CN" w:bidi="ar-SA"/>
        </w:rPr>
        <w:t>[来源：</w:t>
      </w:r>
      <w:r>
        <w:rPr>
          <w:rFonts w:hint="eastAsia" w:ascii="Times New Roman" w:hAnsi="Times New Roman" w:eastAsia="宋体" w:cs="Times New Roman"/>
          <w:sz w:val="21"/>
          <w:szCs w:val="21"/>
          <w:lang w:val="en-US" w:eastAsia="zh-CN" w:bidi="ar-SA"/>
        </w:rPr>
        <w:t>HJ/T 397</w:t>
      </w:r>
      <w:r>
        <w:rPr>
          <w:rFonts w:hint="eastAsia" w:ascii="宋体" w:hAnsi="Times New Roman" w:eastAsia="宋体" w:cs="Times New Roman"/>
          <w:sz w:val="21"/>
          <w:lang w:val="en-US" w:eastAsia="zh-CN" w:bidi="ar-SA"/>
        </w:rPr>
        <w:t>与</w:t>
      </w:r>
      <w:r>
        <w:rPr>
          <w:rFonts w:hint="eastAsia" w:ascii="Times New Roman" w:hAnsi="Times New Roman" w:eastAsia="宋体" w:cs="Times New Roman"/>
          <w:sz w:val="21"/>
          <w:szCs w:val="21"/>
          <w:lang w:val="en-US" w:eastAsia="zh-CN" w:bidi="ar-SA"/>
        </w:rPr>
        <w:t>HJ 606</w:t>
      </w:r>
      <w:r>
        <w:rPr>
          <w:rFonts w:hint="eastAsia" w:ascii="宋体" w:hAnsi="Times New Roman" w:eastAsia="宋体" w:cs="Times New Roman"/>
          <w:sz w:val="21"/>
          <w:lang w:val="en-US" w:eastAsia="zh-CN" w:bidi="ar-SA"/>
        </w:rPr>
        <w:t>]</w:t>
      </w:r>
    </w:p>
    <w:p w14:paraId="5B6B2796">
      <w:pPr>
        <w:pStyle w:val="109"/>
        <w:bidi w:val="0"/>
        <w:ind w:left="0" w:leftChars="0" w:firstLine="0" w:firstLineChars="0"/>
        <w:rPr>
          <w:rFonts w:hint="eastAsia"/>
          <w:lang w:val="en-US" w:eastAsia="zh-CN"/>
        </w:rPr>
      </w:pPr>
      <w:r>
        <w:rPr>
          <w:rFonts w:hint="eastAsia"/>
          <w:lang w:val="en-US" w:eastAsia="zh-CN"/>
        </w:rPr>
        <w:t>噪声</w:t>
      </w:r>
    </w:p>
    <w:p w14:paraId="7B448985">
      <w:pPr>
        <w:autoSpaceDE w:val="0"/>
        <w:autoSpaceDN w:val="0"/>
        <w:ind w:firstLine="420" w:firstLineChars="200"/>
        <w:jc w:val="both"/>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噪声</w:t>
      </w:r>
      <w:r>
        <w:rPr>
          <w:rFonts w:hint="eastAsia" w:ascii="宋体" w:hAnsi="宋体" w:eastAsia="宋体" w:cs="宋体"/>
          <w:sz w:val="21"/>
          <w:lang w:val="en-US" w:eastAsia="zh-CN" w:bidi="ar-SA"/>
        </w:rPr>
        <w:t>监测</w:t>
      </w:r>
      <w:r>
        <w:rPr>
          <w:rFonts w:hint="eastAsia" w:ascii="宋体" w:hAnsi="宋体" w:cs="宋体"/>
          <w:sz w:val="21"/>
          <w:lang w:val="en-US" w:eastAsia="zh-CN" w:bidi="ar-SA"/>
        </w:rPr>
        <w:t>场所</w:t>
      </w:r>
      <w:r>
        <w:rPr>
          <w:rFonts w:hint="eastAsia" w:ascii="宋体" w:hAnsi="宋体" w:eastAsia="宋体" w:cs="宋体"/>
          <w:sz w:val="21"/>
          <w:lang w:val="en-US" w:eastAsia="zh-CN" w:bidi="ar-SA"/>
        </w:rPr>
        <w:t>处于</w:t>
      </w:r>
      <w:r>
        <w:rPr>
          <w:rFonts w:hint="eastAsia" w:ascii="宋体" w:hAnsi="宋体" w:cs="宋体"/>
          <w:sz w:val="21"/>
          <w:lang w:val="en-US" w:eastAsia="zh-CN" w:bidi="ar-SA"/>
        </w:rPr>
        <w:t>城市</w:t>
      </w:r>
      <w:r>
        <w:rPr>
          <w:rFonts w:hint="eastAsia" w:ascii="宋体" w:hAnsi="Times New Roman" w:eastAsia="宋体" w:cs="Times New Roman"/>
          <w:sz w:val="21"/>
          <w:lang w:val="en-US" w:eastAsia="zh-CN" w:bidi="ar-SA"/>
        </w:rPr>
        <w:t>、</w:t>
      </w:r>
      <w:r>
        <w:rPr>
          <w:rFonts w:hint="eastAsia" w:ascii="宋体" w:hAnsi="宋体" w:cs="宋体"/>
          <w:sz w:val="21"/>
          <w:lang w:val="en-US" w:eastAsia="zh-CN" w:bidi="ar-SA"/>
        </w:rPr>
        <w:t>城市规划区</w:t>
      </w:r>
      <w:r>
        <w:rPr>
          <w:rFonts w:hint="eastAsia" w:ascii="宋体" w:hAnsi="Times New Roman" w:eastAsia="宋体" w:cs="Times New Roman"/>
          <w:sz w:val="21"/>
          <w:lang w:val="en-US" w:eastAsia="zh-CN" w:bidi="ar-SA"/>
        </w:rPr>
        <w:t>、</w:t>
      </w:r>
      <w:r>
        <w:rPr>
          <w:rFonts w:hint="eastAsia" w:ascii="宋体" w:hAnsi="宋体" w:cs="宋体"/>
          <w:sz w:val="21"/>
          <w:lang w:val="en-US" w:eastAsia="zh-CN" w:bidi="ar-SA"/>
        </w:rPr>
        <w:t>乡村</w:t>
      </w:r>
      <w:r>
        <w:rPr>
          <w:rFonts w:hint="eastAsia" w:ascii="宋体" w:hAnsi="Times New Roman" w:eastAsia="宋体" w:cs="Times New Roman"/>
          <w:sz w:val="21"/>
          <w:lang w:val="en-US" w:eastAsia="zh-CN" w:bidi="ar-SA"/>
        </w:rPr>
        <w:t>、</w:t>
      </w:r>
      <w:r>
        <w:rPr>
          <w:rFonts w:hint="eastAsia" w:ascii="宋体" w:hAnsi="宋体" w:cs="宋体"/>
          <w:sz w:val="21"/>
          <w:lang w:val="en-US" w:eastAsia="zh-CN" w:bidi="ar-SA"/>
        </w:rPr>
        <w:t>交通干线</w:t>
      </w:r>
      <w:r>
        <w:rPr>
          <w:rFonts w:hint="eastAsia" w:ascii="宋体" w:hAnsi="Times New Roman" w:eastAsia="宋体" w:cs="Times New Roman"/>
          <w:sz w:val="21"/>
          <w:lang w:val="en-US" w:eastAsia="zh-CN" w:bidi="ar-SA"/>
        </w:rPr>
        <w:t>、</w:t>
      </w:r>
      <w:r>
        <w:rPr>
          <w:rFonts w:hint="eastAsia" w:ascii="宋体" w:hAnsi="宋体" w:cs="宋体"/>
          <w:sz w:val="21"/>
          <w:lang w:val="en-US" w:eastAsia="zh-CN" w:bidi="ar-SA"/>
        </w:rPr>
        <w:t>噪声敏感建筑物</w:t>
      </w:r>
      <w:r>
        <w:rPr>
          <w:rFonts w:hint="eastAsia" w:ascii="宋体" w:hAnsi="Times New Roman" w:eastAsia="宋体" w:cs="Times New Roman"/>
          <w:sz w:val="21"/>
          <w:lang w:val="en-US" w:eastAsia="zh-CN" w:bidi="ar-SA"/>
        </w:rPr>
        <w:t>、</w:t>
      </w:r>
      <w:r>
        <w:rPr>
          <w:rFonts w:hint="eastAsia" w:ascii="宋体" w:hAnsi="宋体" w:cs="宋体"/>
          <w:sz w:val="21"/>
          <w:lang w:val="en-US" w:eastAsia="zh-CN" w:bidi="ar-SA"/>
        </w:rPr>
        <w:t>机场</w:t>
      </w:r>
      <w:r>
        <w:rPr>
          <w:rFonts w:hint="eastAsia" w:ascii="宋体" w:hAnsi="Times New Roman" w:eastAsia="宋体" w:cs="Times New Roman"/>
          <w:sz w:val="21"/>
          <w:lang w:val="en-US" w:eastAsia="zh-CN" w:bidi="ar-SA"/>
        </w:rPr>
        <w:t>、</w:t>
      </w:r>
      <w:r>
        <w:rPr>
          <w:rFonts w:hint="eastAsia" w:ascii="宋体" w:hAnsi="宋体" w:cs="宋体"/>
          <w:sz w:val="21"/>
          <w:lang w:val="en-US" w:eastAsia="zh-CN" w:bidi="ar-SA"/>
        </w:rPr>
        <w:t>工矿企业</w:t>
      </w:r>
      <w:r>
        <w:rPr>
          <w:rFonts w:hint="eastAsia" w:ascii="宋体" w:hAnsi="Times New Roman" w:eastAsia="宋体" w:cs="Times New Roman"/>
          <w:sz w:val="21"/>
          <w:lang w:val="en-US" w:eastAsia="zh-CN" w:bidi="ar-SA"/>
        </w:rPr>
        <w:t>、</w:t>
      </w:r>
      <w:r>
        <w:rPr>
          <w:rFonts w:hint="eastAsia" w:ascii="宋体" w:hAnsi="宋体" w:cs="宋体"/>
          <w:sz w:val="21"/>
          <w:lang w:val="en-US" w:eastAsia="zh-CN" w:bidi="ar-SA"/>
        </w:rPr>
        <w:t>建筑施工场地</w:t>
      </w:r>
      <w:r>
        <w:rPr>
          <w:rFonts w:hint="eastAsia" w:ascii="宋体" w:hAnsi="Times New Roman" w:eastAsia="宋体" w:cs="Times New Roman"/>
          <w:sz w:val="21"/>
          <w:lang w:val="en-US" w:eastAsia="zh-CN" w:bidi="ar-SA"/>
        </w:rPr>
        <w:t>。</w:t>
      </w:r>
    </w:p>
    <w:p w14:paraId="46BBC411">
      <w:pPr>
        <w:pStyle w:val="109"/>
        <w:numPr>
          <w:ilvl w:val="-1"/>
          <w:numId w:val="0"/>
        </w:numPr>
        <w:bidi w:val="0"/>
        <w:ind w:left="0" w:leftChars="0" w:firstLine="420" w:firstLineChars="200"/>
        <w:rPr>
          <w:rFonts w:hint="default"/>
          <w:lang w:val="en-US" w:eastAsia="zh-CN"/>
        </w:rPr>
      </w:pPr>
      <w:r>
        <w:rPr>
          <w:rFonts w:hint="eastAsia" w:ascii="宋体" w:hAnsi="Times New Roman" w:eastAsia="宋体" w:cs="Times New Roman"/>
          <w:sz w:val="21"/>
          <w:lang w:val="en-US" w:eastAsia="zh-CN" w:bidi="ar-SA"/>
        </w:rPr>
        <w:t>[来源：</w:t>
      </w:r>
      <w:r>
        <w:rPr>
          <w:rFonts w:hint="eastAsia" w:ascii="Times New Roman" w:eastAsia="宋体" w:cs="Times New Roman"/>
          <w:sz w:val="21"/>
          <w:szCs w:val="21"/>
          <w:lang w:val="en-US" w:eastAsia="zh-CN" w:bidi="ar-SA"/>
        </w:rPr>
        <w:t>G3096、</w:t>
      </w:r>
      <w:r>
        <w:rPr>
          <w:rFonts w:hint="eastAsia" w:ascii="Times New Roman" w:hAnsi="Times New Roman" w:eastAsia="宋体" w:cs="Times New Roman"/>
          <w:sz w:val="21"/>
          <w:szCs w:val="21"/>
          <w:lang w:val="en-US" w:eastAsia="zh-CN" w:bidi="ar-SA"/>
        </w:rPr>
        <w:t>GB 9661</w:t>
      </w:r>
      <w:r>
        <w:rPr>
          <w:rFonts w:hint="eastAsia" w:ascii="Times New Roman" w:eastAsia="宋体" w:cs="Times New Roman"/>
          <w:sz w:val="21"/>
          <w:szCs w:val="21"/>
          <w:lang w:val="en-US" w:eastAsia="zh-CN" w:bidi="ar-SA"/>
        </w:rPr>
        <w:t>、</w:t>
      </w:r>
      <w:r>
        <w:rPr>
          <w:rFonts w:hint="eastAsia" w:ascii="Times New Roman" w:hAnsi="Times New Roman" w:eastAsia="宋体" w:cs="Times New Roman"/>
          <w:sz w:val="21"/>
          <w:szCs w:val="21"/>
          <w:lang w:val="en-US" w:eastAsia="zh-CN" w:bidi="ar-SA"/>
        </w:rPr>
        <w:t>GB 12348</w:t>
      </w:r>
      <w:r>
        <w:rPr>
          <w:rFonts w:hint="eastAsia" w:ascii="Times New Roman" w:eastAsia="宋体" w:cs="Times New Roman"/>
          <w:sz w:val="21"/>
          <w:szCs w:val="21"/>
          <w:lang w:val="en-US" w:eastAsia="zh-CN" w:bidi="ar-SA"/>
        </w:rPr>
        <w:t>与 GB 12523</w:t>
      </w:r>
      <w:r>
        <w:rPr>
          <w:rFonts w:hint="eastAsia" w:ascii="宋体" w:hAnsi="Times New Roman" w:eastAsia="宋体" w:cs="Times New Roman"/>
          <w:sz w:val="21"/>
          <w:lang w:val="en-US" w:eastAsia="zh-CN" w:bidi="ar-SA"/>
        </w:rPr>
        <w:t>]</w:t>
      </w:r>
    </w:p>
    <w:p w14:paraId="6E34471F">
      <w:pPr>
        <w:pStyle w:val="109"/>
        <w:bidi w:val="0"/>
        <w:ind w:left="0" w:leftChars="0" w:firstLine="0" w:firstLineChars="0"/>
        <w:rPr>
          <w:rFonts w:hint="eastAsia"/>
          <w:lang w:val="en-US" w:eastAsia="zh-CN"/>
        </w:rPr>
      </w:pPr>
      <w:r>
        <w:rPr>
          <w:rFonts w:hint="eastAsia"/>
          <w:lang w:val="en-US" w:eastAsia="zh-CN"/>
        </w:rPr>
        <w:t>振动监测</w:t>
      </w:r>
    </w:p>
    <w:p w14:paraId="2080F140">
      <w:pPr>
        <w:autoSpaceDE w:val="0"/>
        <w:autoSpaceDN w:val="0"/>
        <w:ind w:firstLine="420" w:firstLineChars="200"/>
        <w:jc w:val="both"/>
        <w:rPr>
          <w:rFonts w:hint="eastAsia"/>
          <w:lang w:val="en-US" w:eastAsia="zh-CN"/>
        </w:rPr>
      </w:pPr>
      <w:r>
        <w:rPr>
          <w:rFonts w:hint="eastAsia" w:ascii="宋体" w:hAnsi="Times New Roman" w:eastAsia="宋体" w:cs="Times New Roman"/>
          <w:sz w:val="21"/>
          <w:lang w:val="en-US" w:eastAsia="zh-CN" w:bidi="ar-SA"/>
        </w:rPr>
        <w:t>振动监测</w:t>
      </w:r>
      <w:r>
        <w:rPr>
          <w:rFonts w:hint="eastAsia" w:ascii="宋体" w:hAnsi="Times New Roman" w:cs="Times New Roman"/>
          <w:sz w:val="21"/>
          <w:lang w:val="en-US" w:eastAsia="zh-CN" w:bidi="ar-SA"/>
        </w:rPr>
        <w:t>场所处于城市区域</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城市轨道交通沿线建筑室内</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铁路</w:t>
      </w:r>
      <w:r>
        <w:rPr>
          <w:rFonts w:hint="eastAsia" w:ascii="宋体" w:hAnsi="Times New Roman" w:eastAsia="宋体" w:cs="Times New Roman"/>
          <w:sz w:val="21"/>
          <w:lang w:val="en-US" w:eastAsia="zh-CN" w:bidi="ar-SA"/>
        </w:rPr>
        <w:t>、</w:t>
      </w:r>
      <w:r>
        <w:rPr>
          <w:rFonts w:hint="eastAsia" w:ascii="宋体" w:hAnsi="Times New Roman" w:cs="Times New Roman"/>
          <w:sz w:val="21"/>
          <w:lang w:val="en-US" w:eastAsia="zh-CN" w:bidi="ar-SA"/>
        </w:rPr>
        <w:t>住宅建筑室内</w:t>
      </w:r>
      <w:r>
        <w:rPr>
          <w:rFonts w:hint="eastAsia" w:ascii="宋体" w:hAnsi="Times New Roman" w:eastAsia="宋体" w:cs="Times New Roman"/>
          <w:sz w:val="21"/>
          <w:lang w:val="en-US" w:eastAsia="zh-CN" w:bidi="ar-SA"/>
        </w:rPr>
        <w:t>。</w:t>
      </w:r>
    </w:p>
    <w:p w14:paraId="3B8C1563">
      <w:pPr>
        <w:pStyle w:val="109"/>
        <w:bidi w:val="0"/>
        <w:ind w:left="0" w:leftChars="0" w:firstLine="0" w:firstLineChars="0"/>
        <w:rPr>
          <w:rFonts w:hint="eastAsia"/>
          <w:lang w:val="en-US" w:eastAsia="zh-CN"/>
        </w:rPr>
      </w:pPr>
      <w:r>
        <w:rPr>
          <w:rFonts w:hint="eastAsia"/>
          <w:lang w:val="en-US" w:eastAsia="zh-CN"/>
        </w:rPr>
        <w:t>土壤监测</w:t>
      </w:r>
    </w:p>
    <w:p w14:paraId="6D155A17">
      <w:pPr>
        <w:pStyle w:val="237"/>
        <w:numPr>
          <w:ilvl w:val="0"/>
          <w:numId w:val="0"/>
        </w:numPr>
        <w:tabs>
          <w:tab w:val="left" w:pos="420"/>
          <w:tab w:val="left" w:pos="590"/>
        </w:tabs>
        <w:spacing w:before="120" w:after="120"/>
        <w:ind w:firstLine="420" w:firstLineChars="200"/>
        <w:rPr>
          <w:rFonts w:hint="eastAsia" w:ascii="Times New Roman" w:hAnsi="Times New Roman" w:eastAsia="宋体" w:cs="Times New Roman"/>
          <w:kern w:val="2"/>
        </w:rPr>
      </w:pPr>
      <w:r>
        <w:rPr>
          <w:rFonts w:hint="eastAsia" w:ascii="Times New Roman" w:hAnsi="Times New Roman" w:eastAsia="宋体" w:cs="Times New Roman"/>
          <w:kern w:val="2"/>
        </w:rPr>
        <w:t>土壤环境监测</w:t>
      </w:r>
      <w:r>
        <w:rPr>
          <w:rFonts w:hint="eastAsia" w:ascii="Times New Roman" w:hAnsi="Times New Roman" w:eastAsia="宋体" w:cs="Times New Roman"/>
          <w:kern w:val="2"/>
          <w:lang w:val="en-US" w:eastAsia="zh-CN"/>
        </w:rPr>
        <w:t>场所处于农用地与建设用地</w:t>
      </w:r>
      <w:r>
        <w:rPr>
          <w:rFonts w:hint="eastAsia" w:ascii="Times New Roman" w:hAnsi="Times New Roman" w:eastAsia="宋体" w:cs="Times New Roman"/>
          <w:kern w:val="2"/>
        </w:rPr>
        <w:t>。其采样环境多处于荒郊野外、厂矿工业区与建筑工地。</w:t>
      </w:r>
    </w:p>
    <w:p w14:paraId="199E7C8F">
      <w:pPr>
        <w:pStyle w:val="109"/>
        <w:tabs>
          <w:tab w:val="center" w:pos="4201"/>
          <w:tab w:val="right" w:leader="dot" w:pos="9298"/>
        </w:tabs>
        <w:ind w:firstLine="0" w:firstLineChars="0"/>
        <w:rPr>
          <w:rFonts w:hint="eastAsia" w:eastAsia="黑体"/>
          <w:lang w:val="en-US" w:eastAsia="zh-CN"/>
        </w:rPr>
      </w:pPr>
      <w:r>
        <w:rPr>
          <w:rFonts w:hint="eastAsia" w:cs="Times New Roman"/>
          <w:lang w:val="en-US" w:eastAsia="zh-CN"/>
        </w:rPr>
        <w:t>水系</w:t>
      </w:r>
      <w:r>
        <w:rPr>
          <w:rFonts w:hint="eastAsia" w:hAnsi="Times New Roman" w:cs="Times New Roman"/>
          <w:lang w:val="en-US" w:eastAsia="zh-CN"/>
        </w:rPr>
        <w:t>沉积物</w:t>
      </w:r>
    </w:p>
    <w:p w14:paraId="7D5756CD">
      <w:pPr>
        <w:keepNext w:val="0"/>
        <w:keepLines w:val="0"/>
        <w:widowControl/>
        <w:suppressLineNumbers w:val="0"/>
        <w:ind w:firstLine="420" w:firstLineChars="200"/>
        <w:jc w:val="left"/>
        <w:rPr>
          <w:rFonts w:hint="eastAsia" w:ascii="Times New Roman" w:hAnsi="Times New Roman" w:cs="Times New Roman"/>
          <w:color w:val="auto"/>
          <w:kern w:val="2"/>
          <w:sz w:val="21"/>
          <w:szCs w:val="21"/>
          <w:lang w:val="en-US" w:eastAsia="zh-CN" w:bidi="ar-SA"/>
        </w:rPr>
      </w:pPr>
      <w:r>
        <w:rPr>
          <w:rFonts w:hint="eastAsia" w:ascii="Times New Roman" w:hAnsi="Times New Roman"/>
          <w:lang w:val="en-US" w:eastAsia="zh-CN"/>
        </w:rPr>
        <w:t>水系沉积物监测场所处于水质采样垂线下方</w:t>
      </w:r>
      <w:r>
        <w:rPr>
          <w:rFonts w:hint="eastAsia" w:ascii="Times New Roman" w:hAnsi="Times New Roman" w:eastAsia="宋体" w:cs="Times New Roman"/>
          <w:color w:val="auto"/>
          <w:kern w:val="2"/>
          <w:sz w:val="21"/>
          <w:szCs w:val="21"/>
          <w:lang w:val="en-US" w:eastAsia="zh-CN" w:bidi="ar-SA"/>
        </w:rPr>
        <w:t>。</w:t>
      </w:r>
      <w:r>
        <w:rPr>
          <w:rFonts w:hint="eastAsia" w:ascii="Times New Roman" w:hAnsi="Times New Roman" w:cs="Times New Roman"/>
          <w:color w:val="auto"/>
          <w:kern w:val="2"/>
          <w:sz w:val="21"/>
          <w:szCs w:val="21"/>
          <w:lang w:val="en-US" w:eastAsia="zh-CN" w:bidi="ar-SA"/>
        </w:rPr>
        <w:t>湖库采样点一般设在主要河流及污染源排放口与湖（库）水混合均匀处。采泥地点除在主要污染源附近、河口部位外，应选择由于地形及潮汐原因造成堆积以及底泥恶化的地点。另外也可选择在沉积层较薄的地点。</w:t>
      </w:r>
    </w:p>
    <w:p w14:paraId="0E242800">
      <w:pPr>
        <w:keepNext w:val="0"/>
        <w:keepLines w:val="0"/>
        <w:widowControl/>
        <w:suppressLineNumbers w:val="0"/>
        <w:ind w:firstLine="420" w:firstLineChars="200"/>
        <w:jc w:val="left"/>
        <w:rPr>
          <w:rFonts w:hint="eastAsia" w:ascii="Times New Roman" w:hAnsi="Times New Roman" w:cs="Times New Roman"/>
          <w:color w:val="auto"/>
          <w:kern w:val="2"/>
          <w:sz w:val="21"/>
          <w:szCs w:val="21"/>
          <w:lang w:val="en-US" w:eastAsia="zh-CN" w:bidi="ar-SA"/>
        </w:rPr>
      </w:pPr>
      <w:r>
        <w:rPr>
          <w:rFonts w:hint="eastAsia" w:ascii="Times New Roman" w:hAnsi="Times New Roman" w:eastAsia="宋体" w:cs="Times New Roman"/>
          <w:sz w:val="21"/>
          <w:lang w:val="en-US" w:eastAsia="zh-CN" w:bidi="ar-SA"/>
        </w:rPr>
        <w:t>[来源：</w:t>
      </w:r>
      <w:r>
        <w:rPr>
          <w:rFonts w:hint="eastAsia" w:ascii="Times New Roman" w:hAnsi="Times New Roman" w:eastAsia="宋体" w:cs="Times New Roman"/>
          <w:sz w:val="21"/>
          <w:szCs w:val="21"/>
          <w:lang w:val="en-US" w:eastAsia="zh-CN" w:bidi="ar-SA"/>
        </w:rPr>
        <w:t>HJ 91</w:t>
      </w:r>
      <w:r>
        <w:rPr>
          <w:rFonts w:hint="eastAsia" w:ascii="Times New Roman" w:hAnsi="Times New Roman" w:eastAsia="宋体" w:cs="Times New Roman"/>
          <w:sz w:val="21"/>
          <w:lang w:val="en-US" w:eastAsia="zh-CN" w:bidi="ar-SA"/>
        </w:rPr>
        <w:t>与</w:t>
      </w:r>
      <w:r>
        <w:rPr>
          <w:rFonts w:hint="eastAsia" w:ascii="Times New Roman" w:hAnsi="Times New Roman" w:cs="Times New Roman"/>
          <w:sz w:val="21"/>
          <w:szCs w:val="21"/>
          <w:lang w:val="en-US" w:eastAsia="zh-CN" w:bidi="ar-SA"/>
        </w:rPr>
        <w:t xml:space="preserve"> </w:t>
      </w:r>
      <w:r>
        <w:rPr>
          <w:rFonts w:hint="eastAsia" w:ascii="Times New Roman" w:hAnsi="Times New Roman" w:eastAsia="宋体" w:cs="Times New Roman"/>
          <w:sz w:val="21"/>
          <w:szCs w:val="21"/>
          <w:lang w:val="en-US" w:eastAsia="zh-CN" w:bidi="ar-SA"/>
        </w:rPr>
        <w:t xml:space="preserve">HJ </w:t>
      </w:r>
      <w:r>
        <w:rPr>
          <w:rFonts w:hint="eastAsia" w:ascii="Times New Roman" w:hAnsi="Times New Roman" w:cs="Times New Roman"/>
          <w:sz w:val="21"/>
          <w:szCs w:val="21"/>
          <w:lang w:val="en-US" w:eastAsia="zh-CN" w:bidi="ar-SA"/>
        </w:rPr>
        <w:t>494</w:t>
      </w:r>
      <w:r>
        <w:rPr>
          <w:rFonts w:hint="eastAsia" w:ascii="Times New Roman" w:hAnsi="Times New Roman" w:eastAsia="宋体" w:cs="Times New Roman"/>
          <w:sz w:val="21"/>
          <w:lang w:val="en-US" w:eastAsia="zh-CN" w:bidi="ar-SA"/>
        </w:rPr>
        <w:t>]</w:t>
      </w:r>
    </w:p>
    <w:p w14:paraId="6F3BED8B">
      <w:pPr>
        <w:pStyle w:val="109"/>
        <w:spacing w:before="0" w:after="0"/>
        <w:rPr>
          <w:rFonts w:hint="eastAsia" w:eastAsia="黑体"/>
          <w:lang w:val="en-US" w:eastAsia="zh-CN"/>
        </w:rPr>
      </w:pPr>
      <w:r>
        <w:rPr>
          <w:rFonts w:hint="eastAsia"/>
          <w:sz w:val="21"/>
          <w:szCs w:val="24"/>
          <w:lang w:val="en-US" w:eastAsia="zh-CN"/>
        </w:rPr>
        <w:t>工业</w:t>
      </w:r>
      <w:r>
        <w:rPr>
          <w:rFonts w:hint="eastAsia"/>
          <w:sz w:val="21"/>
          <w:szCs w:val="24"/>
        </w:rPr>
        <w:t>固体废物监测</w:t>
      </w:r>
    </w:p>
    <w:p w14:paraId="22797990">
      <w:pPr>
        <w:keepNext w:val="0"/>
        <w:keepLines w:val="0"/>
        <w:pageBreakBefore w:val="0"/>
        <w:widowControl/>
        <w:numPr>
          <w:ilvl w:val="0"/>
          <w:numId w:val="0"/>
        </w:numPr>
        <w:kinsoku/>
        <w:wordWrap/>
        <w:overflowPunct/>
        <w:topLinePunct w:val="0"/>
        <w:autoSpaceDE/>
        <w:autoSpaceDN/>
        <w:bidi w:val="0"/>
        <w:adjustRightInd/>
        <w:snapToGrid/>
        <w:spacing w:before="120" w:beforeLines="50" w:after="120" w:afterLines="50"/>
        <w:ind w:firstLine="420" w:firstLineChars="200"/>
        <w:textAlignment w:val="auto"/>
        <w:outlineLvl w:val="3"/>
        <w:rPr>
          <w:rFonts w:hint="eastAsia" w:ascii="Times New Roman" w:hAnsi="Times New Roman"/>
          <w:lang w:val="en-US" w:eastAsia="zh-CN"/>
        </w:rPr>
      </w:pPr>
      <w:r>
        <w:rPr>
          <w:rFonts w:hint="eastAsia" w:ascii="Times New Roman" w:hAnsi="Times New Roman"/>
          <w:lang w:val="en-US" w:eastAsia="zh-CN"/>
        </w:rPr>
        <w:t>工业固体废物</w:t>
      </w:r>
      <w:r>
        <w:rPr>
          <w:rFonts w:hint="eastAsia" w:ascii="Times New Roman" w:hAnsi="Times New Roman" w:cs="Times New Roman"/>
          <w:sz w:val="21"/>
          <w:szCs w:val="21"/>
          <w:lang w:val="en-US" w:eastAsia="zh-CN" w:bidi="ar-SA"/>
        </w:rPr>
        <w:t>监测场所</w:t>
      </w:r>
      <w:r>
        <w:rPr>
          <w:rFonts w:hint="eastAsia" w:ascii="Times New Roman" w:hAnsi="Times New Roman" w:eastAsia="宋体" w:cs="Times New Roman"/>
          <w:sz w:val="21"/>
          <w:szCs w:val="21"/>
          <w:lang w:val="en-US" w:eastAsia="zh-CN" w:bidi="ar-SA"/>
        </w:rPr>
        <w:t>处于</w:t>
      </w:r>
      <w:r>
        <w:rPr>
          <w:rFonts w:hint="eastAsia" w:ascii="Times New Roman" w:hAnsi="Times New Roman" w:cs="Times New Roman"/>
          <w:sz w:val="21"/>
          <w:szCs w:val="21"/>
          <w:lang w:val="en-US" w:eastAsia="zh-CN" w:bidi="ar-SA"/>
        </w:rPr>
        <w:t>暂存</w:t>
      </w:r>
      <w:r>
        <w:rPr>
          <w:rFonts w:hint="eastAsia" w:ascii="Times New Roman" w:hAnsi="Times New Roman" w:eastAsia="宋体" w:cs="Times New Roman"/>
          <w:sz w:val="21"/>
          <w:szCs w:val="21"/>
          <w:lang w:val="en-US" w:eastAsia="zh-CN" w:bidi="ar-SA"/>
        </w:rPr>
        <w:t>仓库</w:t>
      </w:r>
      <w:r>
        <w:rPr>
          <w:rFonts w:hint="eastAsia" w:ascii="Times New Roman" w:hAnsi="Times New Roman" w:eastAsia="宋体" w:cs="Times New Roman"/>
          <w:sz w:val="21"/>
          <w:lang w:val="en-US" w:eastAsia="zh-CN" w:bidi="ar-SA"/>
        </w:rPr>
        <w:t>、</w:t>
      </w:r>
      <w:r>
        <w:rPr>
          <w:rFonts w:hint="eastAsia" w:ascii="Times New Roman" w:hAnsi="Times New Roman" w:cs="Times New Roman"/>
          <w:sz w:val="21"/>
          <w:szCs w:val="21"/>
          <w:lang w:val="en-US" w:eastAsia="zh-CN" w:bidi="ar-SA"/>
        </w:rPr>
        <w:t>堆场</w:t>
      </w:r>
      <w:r>
        <w:rPr>
          <w:rFonts w:hint="eastAsia" w:ascii="Times New Roman" w:hAnsi="Times New Roman" w:eastAsia="宋体" w:cs="Times New Roman"/>
          <w:sz w:val="21"/>
          <w:lang w:val="en-US" w:eastAsia="zh-CN" w:bidi="ar-SA"/>
        </w:rPr>
        <w:t>、</w:t>
      </w:r>
      <w:r>
        <w:rPr>
          <w:rFonts w:hint="eastAsia" w:ascii="Times New Roman" w:hAnsi="Times New Roman" w:cs="Times New Roman"/>
          <w:sz w:val="21"/>
          <w:szCs w:val="21"/>
          <w:lang w:val="en-US" w:eastAsia="zh-CN" w:bidi="ar-SA"/>
        </w:rPr>
        <w:t>填埋场</w:t>
      </w:r>
      <w:r>
        <w:rPr>
          <w:rFonts w:hint="eastAsia" w:ascii="Times New Roman" w:hAnsi="Times New Roman" w:eastAsia="宋体" w:cs="Times New Roman"/>
          <w:sz w:val="21"/>
          <w:szCs w:val="21"/>
          <w:lang w:val="en-US" w:eastAsia="zh-CN" w:bidi="ar-SA"/>
        </w:rPr>
        <w:t>。</w:t>
      </w:r>
    </w:p>
    <w:p w14:paraId="7F03799A">
      <w:pPr>
        <w:pStyle w:val="109"/>
        <w:numPr>
          <w:ilvl w:val="2"/>
          <w:numId w:val="37"/>
        </w:numPr>
        <w:spacing w:before="156" w:after="156"/>
        <w:ind w:left="0" w:leftChars="0" w:firstLineChars="0"/>
        <w:rPr>
          <w:rFonts w:hint="eastAsia" w:ascii="Times New Roman" w:eastAsia="宋体"/>
          <w:kern w:val="2"/>
          <w:szCs w:val="21"/>
          <w:lang w:val="en-US" w:eastAsia="zh-CN"/>
        </w:rPr>
      </w:pPr>
      <w:r>
        <w:rPr>
          <w:rFonts w:hint="eastAsia" w:ascii="黑体" w:hAnsi="黑体" w:eastAsia="黑体" w:cs="黑体"/>
          <w:kern w:val="2"/>
          <w:szCs w:val="21"/>
          <w:lang w:val="en-US" w:eastAsia="zh-CN"/>
        </w:rPr>
        <w:t>生物监测</w:t>
      </w:r>
    </w:p>
    <w:p w14:paraId="706E3328">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生</w:t>
      </w:r>
      <w:r>
        <w:rPr>
          <w:rFonts w:hint="eastAsia" w:ascii="Times New Roman" w:hAnsi="Times New Roman" w:cs="Times New Roman"/>
          <w:sz w:val="21"/>
          <w:lang w:val="en-US" w:eastAsia="zh-CN" w:bidi="ar-SA"/>
        </w:rPr>
        <w:t>物</w:t>
      </w:r>
      <w:r>
        <w:rPr>
          <w:rFonts w:hint="eastAsia" w:ascii="Times New Roman" w:hAnsi="Times New Roman" w:eastAsia="宋体" w:cs="Times New Roman"/>
          <w:sz w:val="21"/>
          <w:lang w:val="en-US" w:eastAsia="zh-CN" w:bidi="ar-SA"/>
        </w:rPr>
        <w:t>监测</w:t>
      </w:r>
      <w:r>
        <w:rPr>
          <w:rFonts w:hint="eastAsia" w:ascii="Times New Roman" w:hAnsi="Times New Roman" w:cs="Times New Roman"/>
          <w:sz w:val="21"/>
          <w:lang w:val="en-US" w:eastAsia="zh-CN" w:bidi="ar-SA"/>
        </w:rPr>
        <w:t>场所处于</w:t>
      </w:r>
      <w:r>
        <w:rPr>
          <w:rFonts w:hint="eastAsia" w:ascii="Times New Roman" w:hAnsi="Times New Roman" w:eastAsia="宋体" w:cs="Times New Roman"/>
          <w:sz w:val="21"/>
          <w:lang w:val="en-US" w:eastAsia="zh-CN" w:bidi="ar-SA"/>
        </w:rPr>
        <w:t>河流、湖库、湿地、森林、</w:t>
      </w:r>
      <w:r>
        <w:rPr>
          <w:rFonts w:hint="eastAsia" w:ascii="Times New Roman" w:hAnsi="Times New Roman" w:cs="Times New Roman"/>
          <w:sz w:val="21"/>
          <w:lang w:val="en-US" w:eastAsia="zh-CN" w:bidi="ar-SA"/>
        </w:rPr>
        <w:t>草地</w:t>
      </w:r>
      <w:r>
        <w:rPr>
          <w:rFonts w:hint="eastAsia" w:ascii="Times New Roman" w:hAnsi="Times New Roman" w:eastAsia="宋体" w:cs="Times New Roman"/>
          <w:sz w:val="21"/>
          <w:lang w:val="en-US" w:eastAsia="zh-CN" w:bidi="ar-SA"/>
        </w:rPr>
        <w:t>、</w:t>
      </w:r>
      <w:r>
        <w:rPr>
          <w:rFonts w:hint="eastAsia" w:ascii="Times New Roman" w:hAnsi="Times New Roman" w:cs="Times New Roman"/>
          <w:sz w:val="21"/>
          <w:lang w:val="en-US" w:eastAsia="zh-CN" w:bidi="ar-SA"/>
        </w:rPr>
        <w:t>城乡</w:t>
      </w:r>
      <w:r>
        <w:rPr>
          <w:rFonts w:hint="eastAsia" w:ascii="Times New Roman" w:hAnsi="Times New Roman" w:eastAsia="宋体" w:cs="Times New Roman"/>
          <w:sz w:val="21"/>
          <w:lang w:val="en-US" w:eastAsia="zh-CN" w:bidi="ar-SA"/>
        </w:rPr>
        <w:t>、农田等所有生境。</w:t>
      </w:r>
    </w:p>
    <w:p w14:paraId="553A41A5">
      <w:pPr>
        <w:autoSpaceDE w:val="0"/>
        <w:autoSpaceDN w:val="0"/>
        <w:ind w:firstLine="420" w:firstLineChars="200"/>
        <w:jc w:val="both"/>
        <w:rPr>
          <w:rFonts w:hint="eastAsia" w:ascii="Times New Roman" w:hAnsi="Times New Roman" w:eastAsia="宋体" w:cs="Times New Roman"/>
          <w:sz w:val="21"/>
          <w:lang w:val="en-US" w:eastAsia="zh-CN" w:bidi="ar-SA"/>
        </w:rPr>
      </w:pPr>
      <w:r>
        <w:rPr>
          <w:rFonts w:hint="eastAsia" w:ascii="Times New Roman" w:hAnsi="Times New Roman" w:eastAsia="宋体" w:cs="Times New Roman"/>
          <w:sz w:val="21"/>
          <w:lang w:val="en-US" w:eastAsia="zh-CN" w:bidi="ar-SA"/>
        </w:rPr>
        <w:t>[来源：</w:t>
      </w:r>
      <w:r>
        <w:rPr>
          <w:rFonts w:hint="eastAsia" w:ascii="Times New Roman" w:hAnsi="Times New Roman" w:eastAsia="宋体" w:cs="Times New Roman"/>
          <w:sz w:val="21"/>
          <w:szCs w:val="21"/>
          <w:lang w:val="en-US" w:eastAsia="zh-CN" w:bidi="ar-SA"/>
        </w:rPr>
        <w:t xml:space="preserve">HJ </w:t>
      </w:r>
      <w:r>
        <w:rPr>
          <w:rFonts w:hint="eastAsia" w:ascii="Times New Roman" w:hAnsi="Times New Roman" w:cs="Times New Roman"/>
          <w:sz w:val="21"/>
          <w:lang w:val="en-US" w:eastAsia="zh-CN" w:bidi="ar-SA"/>
        </w:rPr>
        <w:t>710与</w:t>
      </w:r>
      <w:r>
        <w:rPr>
          <w:rFonts w:hint="eastAsia" w:ascii="Times New Roman" w:hAnsi="Times New Roman" w:eastAsia="宋体" w:cs="Times New Roman"/>
          <w:sz w:val="21"/>
          <w:szCs w:val="21"/>
          <w:lang w:val="en-US" w:eastAsia="zh-CN" w:bidi="ar-SA"/>
        </w:rPr>
        <w:t>HJ 1295</w:t>
      </w:r>
      <w:r>
        <w:rPr>
          <w:rFonts w:hint="eastAsia" w:ascii="Times New Roman" w:hAnsi="Times New Roman" w:eastAsia="宋体" w:cs="Times New Roman"/>
          <w:sz w:val="21"/>
          <w:lang w:val="en-US" w:eastAsia="zh-CN" w:bidi="ar-SA"/>
        </w:rPr>
        <w:t>]</w:t>
      </w:r>
    </w:p>
    <w:p w14:paraId="1BA42F9E">
      <w:pPr>
        <w:pStyle w:val="108"/>
        <w:spacing w:before="156" w:after="156"/>
        <w:rPr>
          <w:rFonts w:hint="eastAsia" w:ascii="Times New Roman" w:eastAsia="宋体"/>
          <w:kern w:val="2"/>
          <w:szCs w:val="21"/>
          <w:lang w:val="en-US" w:eastAsia="zh-CN"/>
        </w:rPr>
      </w:pPr>
      <w:r>
        <w:rPr>
          <w:rFonts w:hint="eastAsia"/>
          <w:lang w:val="en-US" w:eastAsia="zh-CN"/>
        </w:rPr>
        <w:t>设备设施</w:t>
      </w:r>
    </w:p>
    <w:p w14:paraId="4EB75761">
      <w:pPr>
        <w:pStyle w:val="59"/>
        <w:rPr>
          <w:rFonts w:hint="eastAsia" w:ascii="Times New Roman"/>
          <w:kern w:val="2"/>
          <w:szCs w:val="21"/>
          <w:lang w:val="en-US" w:eastAsia="zh-CN"/>
        </w:rPr>
      </w:pPr>
      <w:r>
        <w:rPr>
          <w:rFonts w:hint="eastAsia" w:ascii="Times New Roman"/>
          <w:kern w:val="2"/>
          <w:szCs w:val="21"/>
        </w:rPr>
        <w:t>DB42/T</w:t>
      </w:r>
      <w:r>
        <w:rPr>
          <w:rFonts w:hint="eastAsia" w:ascii="Times New Roman"/>
          <w:szCs w:val="21"/>
          <w:lang w:val="en-US" w:eastAsia="zh-CN"/>
        </w:rPr>
        <w:t xml:space="preserve"> XXXX.1</w:t>
      </w:r>
      <w:r>
        <w:rPr>
          <w:rFonts w:hint="eastAsia" w:ascii="Times New Roman"/>
          <w:kern w:val="2"/>
          <w:szCs w:val="21"/>
        </w:rPr>
        <w:t>第</w:t>
      </w:r>
      <w:r>
        <w:rPr>
          <w:rFonts w:hint="eastAsia" w:ascii="Times New Roman"/>
          <w:kern w:val="2"/>
          <w:szCs w:val="21"/>
          <w:lang w:val="en-US" w:eastAsia="zh-CN"/>
        </w:rPr>
        <w:t>7</w:t>
      </w:r>
      <w:r>
        <w:rPr>
          <w:rFonts w:hint="eastAsia" w:ascii="Times New Roman"/>
          <w:kern w:val="2"/>
          <w:szCs w:val="21"/>
        </w:rPr>
        <w:t>部分的内容适用</w:t>
      </w:r>
      <w:r>
        <w:rPr>
          <w:rFonts w:hint="eastAsia" w:ascii="Times New Roman"/>
          <w:kern w:val="2"/>
          <w:szCs w:val="21"/>
          <w:lang w:val="en-US" w:eastAsia="zh-CN"/>
        </w:rPr>
        <w:t>。</w:t>
      </w:r>
    </w:p>
    <w:p w14:paraId="79F66F9F">
      <w:pPr>
        <w:pStyle w:val="109"/>
        <w:numPr>
          <w:ilvl w:val="2"/>
          <w:numId w:val="37"/>
        </w:numPr>
        <w:spacing w:before="156" w:after="156"/>
        <w:ind w:left="0" w:leftChars="0" w:firstLineChars="0"/>
        <w:rPr>
          <w:rFonts w:hint="eastAsia" w:ascii="Times New Roman" w:eastAsia="宋体"/>
          <w:kern w:val="2"/>
          <w:szCs w:val="21"/>
        </w:rPr>
      </w:pPr>
      <w:r>
        <w:rPr>
          <w:rFonts w:hint="eastAsia" w:hAnsi="黑体" w:cs="黑体"/>
          <w:kern w:val="2"/>
          <w:szCs w:val="21"/>
          <w:lang w:val="en-US" w:eastAsia="zh-CN"/>
        </w:rPr>
        <w:t>设施的安全要求</w:t>
      </w:r>
    </w:p>
    <w:p w14:paraId="7BC2A0F7">
      <w:pPr>
        <w:pStyle w:val="169"/>
        <w:numPr>
          <w:ilvl w:val="-1"/>
          <w:numId w:val="0"/>
        </w:numPr>
        <w:ind w:firstLine="420" w:firstLineChars="200"/>
        <w:rPr>
          <w:rFonts w:hint="eastAsia" w:ascii="Times New Roman" w:hAnsi="Times New Roman"/>
          <w:kern w:val="2"/>
          <w:szCs w:val="21"/>
        </w:rPr>
      </w:pPr>
      <w:r>
        <w:rPr>
          <w:rFonts w:hint="eastAsia" w:ascii="Times New Roman" w:hAnsi="Times New Roman"/>
          <w:kern w:val="2"/>
          <w:szCs w:val="21"/>
          <w:lang w:eastAsia="zh-CN"/>
        </w:rPr>
        <w:t>现场监测</w:t>
      </w:r>
      <w:r>
        <w:rPr>
          <w:rFonts w:hint="eastAsia" w:ascii="Times New Roman" w:hAnsi="Times New Roman"/>
          <w:kern w:val="2"/>
          <w:szCs w:val="21"/>
          <w:lang w:val="en-US" w:eastAsia="zh-CN"/>
        </w:rPr>
        <w:t>人员</w:t>
      </w:r>
      <w:r>
        <w:rPr>
          <w:rFonts w:hint="eastAsia" w:ascii="Times New Roman" w:hAnsi="Times New Roman" w:eastAsia="宋体"/>
          <w:kern w:val="2"/>
          <w:szCs w:val="21"/>
        </w:rPr>
        <w:t>需配备相应的</w:t>
      </w:r>
      <w:r>
        <w:rPr>
          <w:rFonts w:hint="eastAsia" w:ascii="Times New Roman" w:hAnsi="Times New Roman"/>
          <w:kern w:val="2"/>
          <w:szCs w:val="21"/>
          <w:lang w:val="en-US" w:eastAsia="zh-CN"/>
        </w:rPr>
        <w:t>个人</w:t>
      </w:r>
      <w:r>
        <w:rPr>
          <w:rFonts w:hint="eastAsia" w:ascii="Times New Roman" w:hAnsi="Times New Roman" w:eastAsia="宋体"/>
          <w:kern w:val="2"/>
          <w:szCs w:val="21"/>
        </w:rPr>
        <w:t>安全</w:t>
      </w:r>
      <w:r>
        <w:rPr>
          <w:rFonts w:hint="eastAsia" w:ascii="Times New Roman" w:hAnsi="Times New Roman"/>
          <w:kern w:val="2"/>
          <w:szCs w:val="21"/>
          <w:lang w:val="en-US" w:eastAsia="zh-CN"/>
        </w:rPr>
        <w:t>设施与</w:t>
      </w:r>
      <w:r>
        <w:rPr>
          <w:rFonts w:hint="eastAsia" w:ascii="Times New Roman" w:hAnsi="Times New Roman" w:eastAsia="宋体" w:cs="Times New Roman"/>
          <w:b w:val="0"/>
          <w:bCs w:val="0"/>
          <w:i w:val="0"/>
          <w:iCs w:val="0"/>
          <w:caps w:val="0"/>
          <w:color w:val="auto"/>
          <w:spacing w:val="0"/>
          <w:kern w:val="2"/>
          <w:sz w:val="21"/>
          <w:szCs w:val="21"/>
          <w:shd w:val="clear" w:fill="auto"/>
        </w:rPr>
        <w:t>安全警示标志</w:t>
      </w:r>
      <w:r>
        <w:rPr>
          <w:rFonts w:hint="eastAsia" w:ascii="Times New Roman" w:hAnsi="Times New Roman" w:eastAsia="宋体"/>
          <w:kern w:val="2"/>
          <w:szCs w:val="21"/>
        </w:rPr>
        <w:t>，如防毒面具、</w:t>
      </w:r>
      <w:r>
        <w:rPr>
          <w:rFonts w:hint="eastAsia" w:ascii="Times New Roman" w:hAnsi="Times New Roman"/>
          <w:kern w:val="2"/>
          <w:szCs w:val="21"/>
          <w:lang w:val="en-US" w:eastAsia="zh-CN"/>
        </w:rPr>
        <w:t>手套、</w:t>
      </w:r>
      <w:r>
        <w:rPr>
          <w:rFonts w:hint="eastAsia" w:ascii="Times New Roman" w:hAnsi="Times New Roman" w:eastAsia="宋体"/>
          <w:kern w:val="2"/>
          <w:szCs w:val="21"/>
        </w:rPr>
        <w:t>防护服、护目镜</w:t>
      </w:r>
      <w:r>
        <w:rPr>
          <w:rFonts w:hint="eastAsia" w:ascii="Times New Roman" w:hAnsi="Times New Roman"/>
          <w:kern w:val="2"/>
          <w:szCs w:val="21"/>
          <w:lang w:val="en-US" w:eastAsia="zh-CN"/>
        </w:rPr>
        <w:t>、防噪耳塞</w:t>
      </w:r>
      <w:r>
        <w:rPr>
          <w:rFonts w:hint="eastAsia" w:ascii="Times New Roman" w:hAnsi="Times New Roman" w:eastAsia="宋体"/>
          <w:kern w:val="2"/>
          <w:szCs w:val="21"/>
        </w:rPr>
        <w:t>等</w:t>
      </w:r>
      <w:r>
        <w:rPr>
          <w:rFonts w:hint="eastAsia" w:ascii="Times New Roman" w:hAnsi="Times New Roman"/>
          <w:kern w:val="2"/>
          <w:szCs w:val="21"/>
          <w:lang w:eastAsia="zh-CN"/>
        </w:rPr>
        <w:t>。</w:t>
      </w:r>
    </w:p>
    <w:p w14:paraId="755A464D">
      <w:pPr>
        <w:pStyle w:val="109"/>
        <w:numPr>
          <w:ilvl w:val="2"/>
          <w:numId w:val="37"/>
        </w:numPr>
        <w:spacing w:before="156" w:after="156"/>
        <w:ind w:left="0" w:leftChars="0" w:firstLineChars="0"/>
        <w:rPr>
          <w:rFonts w:hint="eastAsia" w:hAnsi="黑体" w:cs="黑体"/>
          <w:kern w:val="2"/>
          <w:szCs w:val="21"/>
        </w:rPr>
      </w:pPr>
      <w:r>
        <w:rPr>
          <w:rFonts w:hint="eastAsia" w:hAnsi="黑体" w:cs="黑体"/>
          <w:kern w:val="2"/>
          <w:szCs w:val="21"/>
          <w:lang w:eastAsia="zh-CN"/>
        </w:rPr>
        <w:t>设备的</w:t>
      </w:r>
      <w:r>
        <w:rPr>
          <w:rFonts w:hint="eastAsia" w:hAnsi="黑体" w:cs="黑体"/>
          <w:kern w:val="2"/>
          <w:szCs w:val="21"/>
          <w:lang w:val="en-US" w:eastAsia="zh-CN"/>
        </w:rPr>
        <w:t>安全要求</w:t>
      </w:r>
    </w:p>
    <w:p w14:paraId="5AEC3621">
      <w:pPr>
        <w:pStyle w:val="169"/>
        <w:numPr>
          <w:ilvl w:val="3"/>
          <w:numId w:val="37"/>
        </w:numPr>
        <w:rPr>
          <w:rFonts w:hint="eastAsia" w:ascii="Times New Roman" w:hAnsi="Times New Roman"/>
          <w:kern w:val="2"/>
          <w:szCs w:val="21"/>
        </w:rPr>
      </w:pPr>
      <w:r>
        <w:rPr>
          <w:rFonts w:hint="eastAsia" w:ascii="Times New Roman" w:hAnsi="Times New Roman" w:eastAsia="宋体"/>
          <w:kern w:val="2"/>
          <w:szCs w:val="21"/>
        </w:rPr>
        <w:t>采样前应清点核查采样</w:t>
      </w:r>
      <w:r>
        <w:rPr>
          <w:rFonts w:hint="eastAsia" w:ascii="Times New Roman" w:hAnsi="Times New Roman"/>
          <w:kern w:val="2"/>
          <w:szCs w:val="21"/>
          <w:lang w:val="en-US" w:eastAsia="zh-CN"/>
        </w:rPr>
        <w:t>器具和防护设施</w:t>
      </w:r>
      <w:r>
        <w:rPr>
          <w:rFonts w:hint="eastAsia" w:ascii="Times New Roman" w:hAnsi="Times New Roman" w:eastAsia="宋体"/>
          <w:kern w:val="2"/>
          <w:szCs w:val="21"/>
        </w:rPr>
        <w:t>的数量及状态，并配备一定数量的备用工具</w:t>
      </w:r>
      <w:r>
        <w:rPr>
          <w:rFonts w:hint="eastAsia" w:ascii="Times New Roman" w:hAnsi="Times New Roman"/>
          <w:kern w:val="2"/>
          <w:szCs w:val="21"/>
          <w:lang w:eastAsia="zh-CN"/>
        </w:rPr>
        <w:t>。</w:t>
      </w:r>
    </w:p>
    <w:p w14:paraId="60590FE9">
      <w:pPr>
        <w:pStyle w:val="169"/>
        <w:numPr>
          <w:ilvl w:val="3"/>
          <w:numId w:val="37"/>
        </w:numPr>
        <w:rPr>
          <w:rFonts w:hint="eastAsia" w:ascii="Times New Roman" w:hAnsi="Times New Roman"/>
          <w:kern w:val="2"/>
          <w:szCs w:val="21"/>
        </w:rPr>
      </w:pPr>
      <w:r>
        <w:rPr>
          <w:rFonts w:hint="eastAsia" w:ascii="Times New Roman" w:hAnsi="Times New Roman"/>
          <w:kern w:val="2"/>
          <w:szCs w:val="21"/>
          <w:lang w:val="en-US" w:eastAsia="zh-CN"/>
        </w:rPr>
        <w:t>运输时，</w:t>
      </w:r>
      <w:r>
        <w:rPr>
          <w:rFonts w:hint="eastAsia" w:ascii="Times New Roman"/>
          <w:kern w:val="2"/>
          <w:szCs w:val="21"/>
        </w:rPr>
        <w:t>使用专用防震箱（如泡沫填充箱、航空箱）包装仪器，关键部件（如传感器、镜头）需单独固定，避免晃动碰撞。</w:t>
      </w:r>
    </w:p>
    <w:p w14:paraId="37CFA73B">
      <w:pPr>
        <w:pStyle w:val="169"/>
        <w:numPr>
          <w:ilvl w:val="3"/>
          <w:numId w:val="37"/>
        </w:numPr>
        <w:rPr>
          <w:rFonts w:hint="eastAsia" w:ascii="Times New Roman" w:hAnsi="Times New Roman"/>
          <w:kern w:val="2"/>
          <w:szCs w:val="21"/>
        </w:rPr>
      </w:pPr>
      <w:r>
        <w:rPr>
          <w:rFonts w:hint="eastAsia" w:ascii="Times New Roman" w:hAnsi="Times New Roman"/>
          <w:kern w:val="2"/>
          <w:szCs w:val="21"/>
          <w:lang w:val="en-US" w:eastAsia="zh-CN"/>
        </w:rPr>
        <w:t>使用前需</w:t>
      </w:r>
      <w:r>
        <w:rPr>
          <w:rFonts w:hint="eastAsia" w:ascii="Times New Roman"/>
          <w:kern w:val="2"/>
          <w:szCs w:val="21"/>
        </w:rPr>
        <w:t>评估现场条件（如风速、地质稳定性），避免在易滑坡、强风区域安装设备</w:t>
      </w:r>
      <w:r>
        <w:rPr>
          <w:rFonts w:hint="eastAsia" w:ascii="Times New Roman" w:hAnsi="Times New Roman"/>
          <w:kern w:val="2"/>
          <w:szCs w:val="21"/>
          <w:lang w:eastAsia="zh-CN"/>
        </w:rPr>
        <w:t>。</w:t>
      </w:r>
    </w:p>
    <w:p w14:paraId="3B242847">
      <w:pPr>
        <w:pStyle w:val="169"/>
        <w:numPr>
          <w:ilvl w:val="3"/>
          <w:numId w:val="37"/>
        </w:numPr>
        <w:rPr>
          <w:rFonts w:hint="eastAsia" w:ascii="Times New Roman" w:hAnsi="Times New Roman"/>
          <w:kern w:val="2"/>
          <w:szCs w:val="21"/>
        </w:rPr>
      </w:pPr>
      <w:r>
        <w:rPr>
          <w:rFonts w:hint="eastAsia" w:ascii="Times New Roman" w:hAnsi="Times New Roman" w:eastAsia="宋体"/>
          <w:kern w:val="2"/>
          <w:szCs w:val="21"/>
        </w:rPr>
        <w:t>使用时应遵守操作规程，并注意天气及周围环境对其的影响</w:t>
      </w:r>
      <w:r>
        <w:rPr>
          <w:rFonts w:hint="eastAsia" w:ascii="Times New Roman" w:hAnsi="Times New Roman"/>
          <w:kern w:val="2"/>
          <w:szCs w:val="21"/>
          <w:lang w:eastAsia="zh-CN"/>
        </w:rPr>
        <w:t>，</w:t>
      </w:r>
      <w:r>
        <w:rPr>
          <w:rFonts w:hint="eastAsia" w:ascii="Times New Roman" w:hAnsi="Times New Roman"/>
          <w:kern w:val="2"/>
          <w:szCs w:val="21"/>
          <w:lang w:val="en-US" w:eastAsia="zh-CN"/>
        </w:rPr>
        <w:t>雨雪天禁止在户外使用有漏电风险的设备</w:t>
      </w:r>
      <w:r>
        <w:rPr>
          <w:rFonts w:hint="eastAsia" w:ascii="Times New Roman" w:hAnsi="Times New Roman"/>
          <w:kern w:val="2"/>
          <w:szCs w:val="21"/>
        </w:rPr>
        <w:t>。</w:t>
      </w:r>
      <w:r>
        <w:rPr>
          <w:rFonts w:hint="eastAsia" w:ascii="Times New Roman"/>
          <w:kern w:val="2"/>
          <w:szCs w:val="21"/>
        </w:rPr>
        <w:t>电源线、数据线需穿管保护，避免缠绕、碾压或动物啃咬，接口处做好防水密封（如使用防水接头）。</w:t>
      </w:r>
    </w:p>
    <w:p w14:paraId="2BA41531">
      <w:pPr>
        <w:pStyle w:val="169"/>
        <w:numPr>
          <w:ilvl w:val="3"/>
          <w:numId w:val="37"/>
        </w:numPr>
        <w:rPr>
          <w:rFonts w:hint="eastAsia" w:ascii="Times New Roman" w:hAnsi="Times New Roman"/>
          <w:kern w:val="2"/>
          <w:szCs w:val="21"/>
        </w:rPr>
      </w:pPr>
      <w:r>
        <w:rPr>
          <w:rFonts w:hint="eastAsia" w:ascii="Times New Roman"/>
          <w:kern w:val="2"/>
          <w:szCs w:val="21"/>
        </w:rPr>
        <w:t>在设备运行过程中，应密切关注设备的工作状态，如发现异常声响、过热、冒烟等情况，应立即停止使用，并进行检查和维修</w:t>
      </w:r>
      <w:r>
        <w:rPr>
          <w:rFonts w:hint="eastAsia" w:ascii="Times New Roman"/>
          <w:kern w:val="2"/>
          <w:szCs w:val="21"/>
          <w:lang w:eastAsia="zh-CN"/>
        </w:rPr>
        <w:t>。</w:t>
      </w:r>
    </w:p>
    <w:p w14:paraId="0C68DBD1">
      <w:pPr>
        <w:pStyle w:val="169"/>
        <w:numPr>
          <w:ilvl w:val="3"/>
          <w:numId w:val="37"/>
        </w:numPr>
        <w:rPr>
          <w:rFonts w:hint="eastAsia" w:ascii="Times New Roman" w:hAnsi="Times New Roman"/>
          <w:kern w:val="2"/>
          <w:szCs w:val="21"/>
        </w:rPr>
      </w:pPr>
      <w:r>
        <w:rPr>
          <w:rFonts w:hint="eastAsia" w:ascii="Times New Roman" w:hAnsi="Times New Roman"/>
          <w:kern w:val="2"/>
          <w:szCs w:val="21"/>
          <w:lang w:val="en-US" w:eastAsia="zh-CN"/>
        </w:rPr>
        <w:t>现场监测数据应</w:t>
      </w:r>
      <w:r>
        <w:rPr>
          <w:rFonts w:hint="eastAsia" w:ascii="Times New Roman" w:hAnsi="Times New Roman"/>
          <w:kern w:val="2"/>
          <w:szCs w:val="21"/>
        </w:rPr>
        <w:t>存储于加密硬盘或存储卡，定期导出至安全服务器，避免设备丢失导致数据泄露。通过4G/5G、卫星等方式传输数据时，采用</w:t>
      </w:r>
      <w:r>
        <w:rPr>
          <w:rFonts w:hint="eastAsia" w:ascii="Times New Roman"/>
          <w:kern w:val="2"/>
          <w:szCs w:val="21"/>
          <w:lang w:val="en-US" w:eastAsia="zh-CN"/>
        </w:rPr>
        <w:t>虚拟专用网络</w:t>
      </w:r>
      <w:r>
        <w:rPr>
          <w:rFonts w:hint="eastAsia" w:ascii="Times New Roman" w:hAnsi="Times New Roman"/>
          <w:kern w:val="2"/>
          <w:szCs w:val="21"/>
        </w:rPr>
        <w:t>加密通道，防止数据被截获或篡改。重要数据需在云端和本地双重备份，定期进行恢复测试，确保数据完整性。</w:t>
      </w:r>
    </w:p>
    <w:p w14:paraId="7892FDF0">
      <w:pPr>
        <w:pStyle w:val="169"/>
        <w:numPr>
          <w:ilvl w:val="3"/>
          <w:numId w:val="37"/>
        </w:numPr>
        <w:rPr>
          <w:rFonts w:hint="eastAsia" w:ascii="Times New Roman"/>
          <w:kern w:val="2"/>
          <w:szCs w:val="21"/>
        </w:rPr>
      </w:pPr>
      <w:r>
        <w:rPr>
          <w:rFonts w:hint="eastAsia" w:ascii="Times New Roman" w:hAnsi="Times New Roman"/>
          <w:kern w:val="2"/>
          <w:szCs w:val="21"/>
          <w:lang w:val="en-US" w:eastAsia="zh-CN"/>
        </w:rPr>
        <w:t>设备</w:t>
      </w:r>
      <w:r>
        <w:rPr>
          <w:rFonts w:hint="eastAsia" w:ascii="Times New Roman"/>
          <w:kern w:val="2"/>
          <w:szCs w:val="21"/>
        </w:rPr>
        <w:t>存储点需避开高温、高湿区域（如阳光直射、水源附近），可使用便携式恒温箱或干燥剂维持干燥环境。设备长期存放时，应置于密封柜或防尘罩内，定期检查是否有霉菌、虫蚁侵蚀迹象。</w:t>
      </w:r>
    </w:p>
    <w:p w14:paraId="5EE85B68">
      <w:pPr>
        <w:pStyle w:val="109"/>
        <w:numPr>
          <w:ilvl w:val="1"/>
          <w:numId w:val="37"/>
        </w:numPr>
        <w:spacing w:before="156" w:after="156"/>
        <w:rPr>
          <w:rFonts w:hint="eastAsia"/>
          <w:lang w:val="en-US" w:eastAsia="zh-CN"/>
        </w:rPr>
      </w:pPr>
      <w:r>
        <w:rPr>
          <w:rFonts w:hint="eastAsia"/>
          <w:lang w:val="en-US" w:eastAsia="zh-CN"/>
        </w:rPr>
        <w:t>物料</w:t>
      </w:r>
    </w:p>
    <w:p w14:paraId="56EF2379">
      <w:pPr>
        <w:pStyle w:val="59"/>
        <w:ind w:firstLine="420"/>
        <w:rPr>
          <w:rFonts w:hint="eastAsia" w:ascii="Times New Roman"/>
          <w:kern w:val="2"/>
          <w:szCs w:val="21"/>
          <w:lang w:val="en-US" w:eastAsia="zh-CN"/>
        </w:rPr>
      </w:pPr>
      <w:r>
        <w:rPr>
          <w:rFonts w:hint="eastAsia" w:ascii="Times New Roman"/>
          <w:kern w:val="2"/>
          <w:szCs w:val="21"/>
        </w:rPr>
        <w:t>DB42/T</w:t>
      </w:r>
      <w:r>
        <w:rPr>
          <w:rFonts w:hint="eastAsia" w:ascii="Times New Roman"/>
          <w:kern w:val="2"/>
          <w:szCs w:val="21"/>
          <w:lang w:val="en-US" w:eastAsia="zh-CN"/>
        </w:rPr>
        <w:t xml:space="preserve"> </w:t>
      </w:r>
      <w:r>
        <w:rPr>
          <w:rFonts w:hint="eastAsia" w:ascii="Times New Roman"/>
          <w:szCs w:val="21"/>
          <w:lang w:val="en-US" w:eastAsia="zh-CN"/>
        </w:rPr>
        <w:t>XXXX.1</w:t>
      </w:r>
      <w:r>
        <w:rPr>
          <w:rFonts w:hint="eastAsia" w:ascii="Times New Roman"/>
          <w:kern w:val="2"/>
          <w:szCs w:val="21"/>
        </w:rPr>
        <w:t>第</w:t>
      </w:r>
      <w:r>
        <w:rPr>
          <w:rFonts w:hint="eastAsia" w:ascii="Times New Roman"/>
          <w:kern w:val="2"/>
          <w:szCs w:val="21"/>
          <w:lang w:val="en-US" w:eastAsia="zh-CN"/>
        </w:rPr>
        <w:t>8</w:t>
      </w:r>
      <w:r>
        <w:rPr>
          <w:rFonts w:hint="eastAsia" w:ascii="Times New Roman"/>
          <w:kern w:val="2"/>
          <w:szCs w:val="21"/>
        </w:rPr>
        <w:t>部分的内容适用</w:t>
      </w:r>
      <w:r>
        <w:rPr>
          <w:rFonts w:hint="eastAsia" w:ascii="Times New Roman"/>
          <w:kern w:val="2"/>
          <w:szCs w:val="21"/>
          <w:lang w:eastAsia="zh-CN"/>
        </w:rPr>
        <w:t>。</w:t>
      </w:r>
    </w:p>
    <w:p w14:paraId="2FD4C92D">
      <w:pPr>
        <w:pStyle w:val="109"/>
        <w:numPr>
          <w:ilvl w:val="1"/>
          <w:numId w:val="37"/>
        </w:numPr>
        <w:spacing w:before="156" w:after="156"/>
        <w:rPr>
          <w:rFonts w:hint="eastAsia"/>
          <w:lang w:val="en-US" w:eastAsia="zh-CN"/>
        </w:rPr>
      </w:pPr>
      <w:r>
        <w:rPr>
          <w:rFonts w:hint="eastAsia"/>
          <w:lang w:val="en-US" w:eastAsia="zh-CN"/>
        </w:rPr>
        <w:t>危险源辨识</w:t>
      </w:r>
    </w:p>
    <w:p w14:paraId="406FCFA1">
      <w:pPr>
        <w:pStyle w:val="59"/>
        <w:ind w:firstLine="420"/>
        <w:rPr>
          <w:rFonts w:hint="eastAsia" w:ascii="Times New Roman"/>
          <w:kern w:val="2"/>
          <w:szCs w:val="21"/>
        </w:rPr>
      </w:pPr>
      <w:r>
        <w:rPr>
          <w:rFonts w:hint="eastAsia" w:ascii="Times New Roman"/>
          <w:kern w:val="2"/>
          <w:szCs w:val="21"/>
        </w:rPr>
        <w:t>DB42/T</w:t>
      </w:r>
      <w:r>
        <w:rPr>
          <w:rFonts w:hint="eastAsia" w:ascii="Times New Roman"/>
          <w:kern w:val="2"/>
          <w:szCs w:val="21"/>
          <w:lang w:val="en-US" w:eastAsia="zh-CN"/>
        </w:rPr>
        <w:t xml:space="preserve"> </w:t>
      </w:r>
      <w:r>
        <w:rPr>
          <w:rFonts w:hint="eastAsia" w:ascii="Times New Roman"/>
          <w:szCs w:val="21"/>
          <w:lang w:val="en-US" w:eastAsia="zh-CN"/>
        </w:rPr>
        <w:t>XXXX.1</w:t>
      </w:r>
      <w:r>
        <w:rPr>
          <w:rFonts w:hint="eastAsia" w:ascii="Times New Roman"/>
          <w:kern w:val="2"/>
          <w:szCs w:val="21"/>
        </w:rPr>
        <w:t>第</w:t>
      </w:r>
      <w:r>
        <w:rPr>
          <w:rFonts w:hint="eastAsia" w:ascii="Times New Roman"/>
          <w:kern w:val="2"/>
          <w:szCs w:val="21"/>
          <w:lang w:val="en-US" w:eastAsia="zh-CN"/>
        </w:rPr>
        <w:t>9</w:t>
      </w:r>
      <w:r>
        <w:rPr>
          <w:rFonts w:hint="eastAsia" w:ascii="Times New Roman"/>
          <w:kern w:val="2"/>
          <w:szCs w:val="21"/>
        </w:rPr>
        <w:t>部分的内容适用</w:t>
      </w:r>
      <w:r>
        <w:rPr>
          <w:rFonts w:hint="eastAsia" w:ascii="Times New Roman"/>
          <w:kern w:val="2"/>
          <w:szCs w:val="21"/>
          <w:lang w:eastAsia="zh-CN"/>
        </w:rPr>
        <w:t>。</w:t>
      </w:r>
    </w:p>
    <w:p w14:paraId="57D02B6B">
      <w:pPr>
        <w:pStyle w:val="59"/>
        <w:ind w:firstLine="420"/>
        <w:rPr>
          <w:rFonts w:hint="eastAsia" w:ascii="Times New Roman" w:hAnsi="Times New Roman" w:eastAsia="宋体" w:cs="Times New Roman"/>
          <w:kern w:val="2"/>
          <w:szCs w:val="21"/>
          <w:lang w:val="en-US" w:eastAsia="zh-CN"/>
        </w:rPr>
      </w:pPr>
      <w:r>
        <w:rPr>
          <w:rFonts w:hint="eastAsia" w:ascii="Times New Roman" w:cs="Times New Roman"/>
          <w:kern w:val="2"/>
          <w:szCs w:val="21"/>
          <w:lang w:val="en-US" w:eastAsia="zh-CN"/>
        </w:rPr>
        <w:t>应用工作危害分析法（</w:t>
      </w:r>
      <w:r>
        <w:rPr>
          <w:rFonts w:hint="eastAsia" w:ascii="Times New Roman"/>
          <w:kern w:val="2"/>
          <w:szCs w:val="21"/>
        </w:rPr>
        <w:t>DB42/T</w:t>
      </w:r>
      <w:r>
        <w:rPr>
          <w:rFonts w:hint="eastAsia" w:ascii="Times New Roman"/>
          <w:kern w:val="2"/>
          <w:szCs w:val="21"/>
          <w:lang w:val="en-US" w:eastAsia="zh-CN"/>
        </w:rPr>
        <w:t xml:space="preserve"> </w:t>
      </w:r>
      <w:r>
        <w:rPr>
          <w:rFonts w:hint="eastAsia" w:ascii="Times New Roman"/>
          <w:szCs w:val="21"/>
          <w:lang w:val="en-US" w:eastAsia="zh-CN"/>
        </w:rPr>
        <w:t>XXXX.1</w:t>
      </w:r>
      <w:r>
        <w:rPr>
          <w:rFonts w:hint="eastAsia" w:ascii="Times New Roman" w:cs="Times New Roman"/>
          <w:kern w:val="2"/>
          <w:szCs w:val="21"/>
          <w:lang w:val="en-US" w:eastAsia="zh-CN"/>
        </w:rPr>
        <w:t>附录A）对第6部分各类生态环境现场监测活动相关的场所环境开展危险源辨识。</w:t>
      </w:r>
    </w:p>
    <w:p w14:paraId="69A63F6C">
      <w:pPr>
        <w:pStyle w:val="109"/>
        <w:numPr>
          <w:ilvl w:val="2"/>
          <w:numId w:val="37"/>
        </w:numPr>
        <w:spacing w:before="156" w:after="156"/>
        <w:ind w:left="0" w:leftChars="0" w:firstLineChars="0"/>
        <w:rPr>
          <w:rFonts w:hint="eastAsia"/>
          <w:lang w:val="en-US" w:eastAsia="zh-CN"/>
        </w:rPr>
      </w:pPr>
      <w:r>
        <w:rPr>
          <w:rFonts w:hint="eastAsia"/>
          <w:lang w:val="en-US" w:eastAsia="zh-CN"/>
        </w:rPr>
        <w:t>水环境监测</w:t>
      </w:r>
    </w:p>
    <w:p w14:paraId="7E21B8DE">
      <w:pPr>
        <w:pStyle w:val="109"/>
        <w:numPr>
          <w:ilvl w:val="3"/>
          <w:numId w:val="37"/>
        </w:numPr>
        <w:spacing w:before="156" w:after="156"/>
        <w:rPr>
          <w:rFonts w:hint="eastAsia"/>
          <w:lang w:val="en-US" w:eastAsia="zh-CN"/>
        </w:rPr>
      </w:pPr>
      <w:r>
        <w:rPr>
          <w:rFonts w:hint="eastAsia"/>
          <w:lang w:val="en-US" w:eastAsia="zh-CN"/>
        </w:rPr>
        <w:t>地表水监测</w:t>
      </w:r>
    </w:p>
    <w:p w14:paraId="711B3B09">
      <w:pPr>
        <w:pStyle w:val="59"/>
        <w:keepNext w:val="0"/>
        <w:keepLines w:val="0"/>
        <w:pageBreakBefore w:val="0"/>
        <w:kinsoku/>
        <w:wordWrap/>
        <w:overflowPunct/>
        <w:topLinePunct w:val="0"/>
        <w:bidi w:val="0"/>
        <w:snapToGrid/>
        <w:spacing w:line="240" w:lineRule="auto"/>
        <w:ind w:firstLine="420" w:firstLineChars="200"/>
        <w:textAlignment w:val="auto"/>
        <w:rPr>
          <w:rFonts w:hint="eastAsia" w:ascii="宋体" w:hAnsi="宋体" w:cs="宋体"/>
          <w:kern w:val="0"/>
          <w:szCs w:val="21"/>
        </w:rPr>
      </w:pPr>
      <w:r>
        <w:rPr>
          <w:rFonts w:hint="eastAsia"/>
          <w:lang w:val="en-US" w:eastAsia="zh-CN"/>
        </w:rPr>
        <w:t>在</w:t>
      </w:r>
      <w:r>
        <w:rPr>
          <w:rFonts w:hint="eastAsia" w:ascii="宋体" w:hAnsi="宋体" w:cs="宋体"/>
          <w:kern w:val="0"/>
          <w:szCs w:val="21"/>
        </w:rPr>
        <w:t>水面进行地表水监测时，危险源</w:t>
      </w:r>
      <w:r>
        <w:rPr>
          <w:rFonts w:hint="eastAsia" w:hAnsi="宋体" w:cs="宋体"/>
          <w:kern w:val="0"/>
          <w:szCs w:val="21"/>
          <w:lang w:val="en-US" w:eastAsia="zh-CN"/>
        </w:rPr>
        <w:t>包括</w:t>
      </w:r>
      <w:r>
        <w:rPr>
          <w:rFonts w:hint="eastAsia" w:ascii="宋体" w:hAnsi="宋体" w:cs="宋体"/>
          <w:kern w:val="0"/>
          <w:szCs w:val="21"/>
        </w:rPr>
        <w:t>溺水，恶劣天气，</w:t>
      </w:r>
      <w:r>
        <w:rPr>
          <w:rFonts w:hint="eastAsia" w:hAnsi="宋体" w:cs="宋体"/>
          <w:kern w:val="0"/>
          <w:szCs w:val="21"/>
          <w:lang w:val="en-US" w:eastAsia="zh-CN"/>
        </w:rPr>
        <w:t>有毒有害化学试剂</w:t>
      </w:r>
      <w:r>
        <w:rPr>
          <w:rFonts w:hint="eastAsia" w:ascii="宋体" w:hAnsi="宋体" w:cs="宋体"/>
          <w:kern w:val="0"/>
          <w:szCs w:val="21"/>
        </w:rPr>
        <w:t>与交通事故。乘船作业时因船体颠簸、超载、碰撞或风浪过大导致翻船，</w:t>
      </w:r>
      <w:r>
        <w:rPr>
          <w:rFonts w:hint="eastAsia" w:hAnsi="宋体" w:cs="宋体"/>
          <w:kern w:val="0"/>
          <w:szCs w:val="21"/>
          <w:lang w:val="en-US" w:eastAsia="zh-CN"/>
        </w:rPr>
        <w:t>存在溺水风险</w:t>
      </w:r>
      <w:r>
        <w:rPr>
          <w:rFonts w:hint="eastAsia" w:ascii="宋体" w:hAnsi="宋体" w:cs="宋体"/>
          <w:kern w:val="0"/>
          <w:szCs w:val="21"/>
        </w:rPr>
        <w:t>。由于水面的不稳定性，部分携带的物料可能会倾翻泄漏</w:t>
      </w:r>
      <w:r>
        <w:rPr>
          <w:rFonts w:hint="eastAsia" w:hAnsi="宋体" w:cs="宋体"/>
          <w:kern w:val="0"/>
          <w:szCs w:val="21"/>
          <w:lang w:eastAsia="zh-CN"/>
        </w:rPr>
        <w:t>，</w:t>
      </w:r>
      <w:r>
        <w:rPr>
          <w:rFonts w:hint="eastAsia" w:hAnsi="宋体" w:cs="宋体"/>
          <w:kern w:val="0"/>
          <w:szCs w:val="21"/>
          <w:lang w:val="en-US" w:eastAsia="zh-CN"/>
        </w:rPr>
        <w:t>存在有毒有害化学试剂伤害风险</w:t>
      </w:r>
      <w:r>
        <w:rPr>
          <w:rFonts w:hint="eastAsia" w:ascii="宋体" w:hAnsi="宋体" w:cs="宋体"/>
          <w:kern w:val="0"/>
          <w:szCs w:val="21"/>
        </w:rPr>
        <w:t>。在水量丰枯周期显著的水域，低水期开展水面采样作业时，需警惕因河床裸露或水深不足导致的船舶搁浅风险。对于通航密度较高的航道区域，采样船需防范因船速、航向判断偏差引发的碰撞事故。</w:t>
      </w:r>
    </w:p>
    <w:p w14:paraId="0F7D8912">
      <w:pPr>
        <w:keepNext w:val="0"/>
        <w:keepLines w:val="0"/>
        <w:pageBreakBefore w:val="0"/>
        <w:kinsoku/>
        <w:wordWrap/>
        <w:overflowPunct/>
        <w:topLinePunct w:val="0"/>
        <w:bidi w:val="0"/>
        <w:snapToGrid/>
        <w:spacing w:line="240" w:lineRule="auto"/>
        <w:ind w:firstLine="420" w:firstLineChars="200"/>
        <w:textAlignment w:val="auto"/>
        <w:rPr>
          <w:rFonts w:hint="eastAsia" w:ascii="宋体" w:hAnsi="宋体" w:cs="宋体"/>
          <w:kern w:val="0"/>
          <w:szCs w:val="21"/>
        </w:rPr>
      </w:pPr>
      <w:r>
        <w:rPr>
          <w:rFonts w:hint="eastAsia" w:hAnsi="宋体" w:cs="宋体"/>
          <w:kern w:val="0"/>
          <w:szCs w:val="21"/>
          <w:lang w:val="en-US" w:eastAsia="zh-CN"/>
        </w:rPr>
        <w:t>在</w:t>
      </w:r>
      <w:r>
        <w:rPr>
          <w:rFonts w:hint="eastAsia" w:ascii="宋体" w:hAnsi="宋体" w:cs="宋体"/>
          <w:kern w:val="0"/>
          <w:szCs w:val="21"/>
          <w:lang w:val="en-US" w:eastAsia="zh-CN"/>
        </w:rPr>
        <w:t>岸</w:t>
      </w:r>
      <w:r>
        <w:rPr>
          <w:rFonts w:hint="eastAsia" w:ascii="宋体" w:hAnsi="宋体" w:cs="宋体"/>
          <w:kern w:val="0"/>
          <w:szCs w:val="21"/>
        </w:rPr>
        <w:t>边进行地表水监测时，危险源包括溺水，</w:t>
      </w:r>
      <w:r>
        <w:rPr>
          <w:rFonts w:hint="eastAsia"/>
          <w:lang w:eastAsia="zh-CN"/>
        </w:rPr>
        <w:t>高空坠落</w:t>
      </w:r>
      <w:r>
        <w:rPr>
          <w:rFonts w:hint="eastAsia" w:ascii="宋体" w:hAnsi="宋体" w:cs="宋体"/>
          <w:kern w:val="0"/>
          <w:szCs w:val="21"/>
        </w:rPr>
        <w:t>，</w:t>
      </w:r>
      <w:r>
        <w:rPr>
          <w:rFonts w:hint="eastAsia" w:hAnsi="宋体" w:cs="宋体"/>
          <w:kern w:val="0"/>
          <w:szCs w:val="21"/>
          <w:lang w:val="en-US" w:eastAsia="zh-CN"/>
        </w:rPr>
        <w:t>有毒有害化学试剂</w:t>
      </w:r>
      <w:r>
        <w:rPr>
          <w:rFonts w:hint="eastAsia" w:ascii="宋体" w:hAnsi="宋体" w:cs="宋体"/>
          <w:kern w:val="0"/>
          <w:szCs w:val="21"/>
        </w:rPr>
        <w:t>与交通事故。</w:t>
      </w:r>
      <w:r>
        <w:rPr>
          <w:rFonts w:hint="eastAsia" w:ascii="宋体" w:hAnsi="宋体" w:cs="宋体"/>
          <w:kern w:val="0"/>
        </w:rPr>
        <w:t>于桥面、河堤等高处采样时，因护栏缺失或结构老化可能</w:t>
      </w:r>
      <w:r>
        <w:rPr>
          <w:rFonts w:hint="eastAsia" w:ascii="宋体" w:hAnsi="宋体" w:cs="宋体"/>
          <w:kern w:val="0"/>
          <w:lang w:val="en-US" w:eastAsia="zh-CN"/>
        </w:rPr>
        <w:t>存在</w:t>
      </w:r>
      <w:r>
        <w:rPr>
          <w:rFonts w:hint="eastAsia" w:ascii="宋体" w:hAnsi="宋体" w:cs="宋体"/>
          <w:kern w:val="0"/>
        </w:rPr>
        <w:t>高空坠落</w:t>
      </w:r>
      <w:r>
        <w:rPr>
          <w:rFonts w:hint="eastAsia" w:ascii="宋体" w:hAnsi="宋体" w:cs="宋体"/>
          <w:kern w:val="0"/>
          <w:lang w:val="en-US" w:eastAsia="zh-CN"/>
        </w:rPr>
        <w:t>风险</w:t>
      </w:r>
      <w:r>
        <w:rPr>
          <w:rFonts w:hint="eastAsia" w:ascii="宋体" w:hAnsi="宋体" w:cs="宋体"/>
          <w:kern w:val="0"/>
        </w:rPr>
        <w:t>。</w:t>
      </w:r>
      <w:r>
        <w:rPr>
          <w:rFonts w:hint="eastAsia" w:ascii="宋体" w:hAnsi="宋体" w:cs="宋体"/>
          <w:kern w:val="0"/>
          <w:szCs w:val="21"/>
        </w:rPr>
        <w:t>水样预处理过程中使用的强酸（如硫酸）、强碱（如氢氧化钠）等固定剂，若操作不当可能会对人员造成伤害。</w:t>
      </w:r>
      <w:r>
        <w:rPr>
          <w:rFonts w:hint="eastAsia" w:ascii="宋体" w:hAnsi="宋体" w:eastAsia="宋体" w:cs="宋体"/>
          <w:i w:val="0"/>
          <w:iCs w:val="0"/>
          <w:caps w:val="0"/>
          <w:spacing w:val="0"/>
          <w:kern w:val="0"/>
          <w:sz w:val="21"/>
          <w:szCs w:val="21"/>
          <w:shd w:val="clear" w:fill="auto"/>
        </w:rPr>
        <w:t>毗邻交通干道的采样点，需警惕过往车辆视线盲区导致的碰撞事故。</w:t>
      </w:r>
    </w:p>
    <w:p w14:paraId="3E006784">
      <w:pPr>
        <w:pStyle w:val="109"/>
        <w:numPr>
          <w:ilvl w:val="3"/>
          <w:numId w:val="37"/>
        </w:numPr>
        <w:spacing w:before="156" w:after="156"/>
        <w:rPr>
          <w:rFonts w:hint="eastAsia"/>
          <w:lang w:val="en-US" w:eastAsia="zh-CN"/>
        </w:rPr>
      </w:pPr>
      <w:r>
        <w:rPr>
          <w:rFonts w:hint="eastAsia"/>
          <w:lang w:val="en-US" w:eastAsia="zh-CN"/>
        </w:rPr>
        <w:t>地下水监测</w:t>
      </w:r>
    </w:p>
    <w:p w14:paraId="07DB231B">
      <w:pPr>
        <w:pStyle w:val="59"/>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US" w:eastAsia="zh-CN"/>
        </w:rPr>
        <w:t>地下水</w:t>
      </w:r>
      <w:r>
        <w:rPr>
          <w:rFonts w:hint="eastAsia" w:ascii="宋体" w:hAnsi="宋体" w:cs="宋体"/>
          <w:kern w:val="0"/>
          <w:szCs w:val="21"/>
        </w:rPr>
        <w:t>监测过程中的危险源包括</w:t>
      </w:r>
      <w:r>
        <w:rPr>
          <w:rFonts w:hint="eastAsia" w:hAnsi="宋体" w:cs="宋体"/>
          <w:kern w:val="0"/>
          <w:szCs w:val="21"/>
          <w:lang w:val="en-US" w:eastAsia="zh-CN"/>
        </w:rPr>
        <w:t>有毒有害化学试剂和有毒气体</w:t>
      </w:r>
      <w:r>
        <w:rPr>
          <w:rFonts w:hint="eastAsia" w:ascii="宋体" w:hAnsi="宋体" w:cs="宋体"/>
          <w:kern w:val="0"/>
          <w:szCs w:val="21"/>
          <w:lang w:eastAsia="zh-CN"/>
        </w:rPr>
        <w:t>。</w:t>
      </w:r>
      <w:r>
        <w:rPr>
          <w:rFonts w:hint="eastAsia" w:ascii="宋体" w:hAnsi="宋体" w:cs="宋体"/>
          <w:kern w:val="0"/>
          <w:szCs w:val="21"/>
        </w:rPr>
        <w:t>受监测井封闭或半封闭空间特性影响，井内可</w:t>
      </w:r>
      <w:r>
        <w:rPr>
          <w:rFonts w:hint="eastAsia" w:hAnsi="宋体" w:cs="宋体"/>
          <w:kern w:val="0"/>
          <w:szCs w:val="21"/>
          <w:lang w:val="en-US" w:eastAsia="zh-CN"/>
        </w:rPr>
        <w:t>能</w:t>
      </w:r>
      <w:r>
        <w:rPr>
          <w:rFonts w:hint="eastAsia" w:ascii="宋体" w:hAnsi="宋体" w:cs="宋体"/>
          <w:kern w:val="0"/>
          <w:szCs w:val="21"/>
        </w:rPr>
        <w:t>积聚如硫化氢</w:t>
      </w:r>
      <w:r>
        <w:rPr>
          <w:rFonts w:hint="eastAsia" w:hAnsi="宋体" w:cs="宋体"/>
          <w:kern w:val="0"/>
          <w:szCs w:val="21"/>
          <w:lang w:eastAsia="zh-CN"/>
        </w:rPr>
        <w:t>、</w:t>
      </w:r>
      <w:r>
        <w:rPr>
          <w:rFonts w:hint="eastAsia" w:ascii="宋体" w:hAnsi="宋体" w:cs="宋体"/>
          <w:kern w:val="0"/>
          <w:szCs w:val="21"/>
        </w:rPr>
        <w:t>二氧化硫</w:t>
      </w:r>
      <w:r>
        <w:rPr>
          <w:rFonts w:hint="eastAsia" w:hAnsi="宋体" w:cs="宋体"/>
          <w:kern w:val="0"/>
          <w:szCs w:val="21"/>
          <w:lang w:eastAsia="zh-CN"/>
        </w:rPr>
        <w:t>、</w:t>
      </w:r>
      <w:r>
        <w:rPr>
          <w:rFonts w:hint="eastAsia" w:ascii="宋体" w:hAnsi="宋体" w:cs="宋体"/>
          <w:kern w:val="0"/>
          <w:szCs w:val="21"/>
        </w:rPr>
        <w:t>氨气等对人有毒有害的气体。</w:t>
      </w:r>
    </w:p>
    <w:p w14:paraId="03D70490">
      <w:pPr>
        <w:pStyle w:val="109"/>
        <w:numPr>
          <w:ilvl w:val="3"/>
          <w:numId w:val="37"/>
        </w:numPr>
        <w:spacing w:before="156" w:after="156"/>
        <w:rPr>
          <w:rFonts w:hint="eastAsia"/>
          <w:lang w:val="en-US" w:eastAsia="zh-CN"/>
        </w:rPr>
      </w:pPr>
      <w:r>
        <w:rPr>
          <w:rFonts w:hint="eastAsia"/>
          <w:lang w:val="en-US" w:eastAsia="zh-CN"/>
        </w:rPr>
        <w:t>废水监测</w:t>
      </w:r>
    </w:p>
    <w:p w14:paraId="32A80A55">
      <w:pPr>
        <w:pStyle w:val="233"/>
        <w:keepNext w:val="0"/>
        <w:keepLines w:val="0"/>
        <w:pageBreakBefore w:val="0"/>
        <w:widowControl/>
        <w:kinsoku/>
        <w:wordWrap/>
        <w:overflowPunct/>
        <w:topLinePunct w:val="0"/>
        <w:autoSpaceDE w:val="0"/>
        <w:autoSpaceDN w:val="0"/>
        <w:bidi w:val="0"/>
        <w:adjustRightInd/>
        <w:snapToGrid/>
        <w:spacing w:line="240" w:lineRule="auto"/>
        <w:textAlignment w:val="auto"/>
        <w:rPr>
          <w:rFonts w:hint="eastAsia"/>
          <w:lang w:val="en-US" w:eastAsia="zh-CN"/>
        </w:rPr>
      </w:pPr>
      <w:r>
        <w:rPr>
          <w:rFonts w:hint="eastAsia"/>
          <w:lang w:val="en-US" w:eastAsia="zh-CN"/>
        </w:rPr>
        <w:t>废</w:t>
      </w:r>
      <w:r>
        <w:rPr>
          <w:rFonts w:hint="eastAsia" w:ascii="宋体" w:hAnsi="Times New Roman" w:eastAsia="宋体" w:cs="Times New Roman"/>
          <w:sz w:val="21"/>
          <w:lang w:val="en-US" w:eastAsia="zh-CN" w:bidi="ar-SA"/>
        </w:rPr>
        <w:t>水监测过程中</w:t>
      </w:r>
      <w:r>
        <w:rPr>
          <w:rFonts w:hint="eastAsia" w:cs="Times New Roman"/>
          <w:sz w:val="21"/>
          <w:lang w:val="en-US" w:eastAsia="zh-CN" w:bidi="ar-SA"/>
        </w:rPr>
        <w:t>的</w:t>
      </w:r>
      <w:r>
        <w:rPr>
          <w:rFonts w:hint="eastAsia" w:ascii="宋体" w:hAnsi="Times New Roman" w:eastAsia="宋体" w:cs="Times New Roman"/>
          <w:sz w:val="21"/>
          <w:lang w:val="en-US" w:eastAsia="zh-CN" w:bidi="ar-SA"/>
        </w:rPr>
        <w:t>危险源包括</w:t>
      </w:r>
      <w:r>
        <w:rPr>
          <w:rFonts w:hint="eastAsia" w:hAnsi="宋体" w:cs="宋体"/>
          <w:kern w:val="0"/>
          <w:szCs w:val="21"/>
          <w:lang w:val="en-US" w:eastAsia="zh-CN"/>
        </w:rPr>
        <w:t>有毒气体</w:t>
      </w:r>
      <w:r>
        <w:rPr>
          <w:rFonts w:hint="eastAsia" w:ascii="宋体" w:hAnsi="Times New Roman" w:eastAsia="宋体" w:cs="Times New Roman"/>
          <w:sz w:val="21"/>
          <w:lang w:val="en-US" w:eastAsia="zh-CN" w:bidi="ar-SA"/>
        </w:rPr>
        <w:t>、溺水、</w:t>
      </w:r>
      <w:r>
        <w:rPr>
          <w:rFonts w:hint="eastAsia" w:hAnsi="宋体" w:cs="宋体"/>
          <w:kern w:val="0"/>
          <w:szCs w:val="21"/>
          <w:lang w:val="en-US" w:eastAsia="zh-CN"/>
        </w:rPr>
        <w:t>有毒有害化学试剂</w:t>
      </w:r>
      <w:r>
        <w:rPr>
          <w:rFonts w:hint="eastAsia" w:ascii="宋体" w:hAnsi="Times New Roman" w:eastAsia="宋体" w:cs="Times New Roman"/>
          <w:sz w:val="21"/>
          <w:lang w:val="en-US" w:eastAsia="zh-CN" w:bidi="ar-SA"/>
        </w:rPr>
        <w:t>、</w:t>
      </w:r>
      <w:r>
        <w:rPr>
          <w:rFonts w:hint="eastAsia" w:hAnsi="宋体" w:cs="宋体"/>
          <w:bCs/>
          <w:lang w:val="en-US" w:eastAsia="zh-CN"/>
        </w:rPr>
        <w:t>生物性危险</w:t>
      </w:r>
      <w:r>
        <w:rPr>
          <w:rFonts w:hint="eastAsia" w:ascii="宋体" w:hAnsi="Times New Roman" w:eastAsia="宋体" w:cs="Times New Roman"/>
          <w:sz w:val="21"/>
          <w:lang w:val="en-US" w:eastAsia="zh-CN" w:bidi="ar-SA"/>
        </w:rPr>
        <w:t>、</w:t>
      </w:r>
      <w:r>
        <w:rPr>
          <w:rFonts w:hint="eastAsia"/>
          <w:lang w:eastAsia="zh-CN"/>
        </w:rPr>
        <w:t>高空坠落</w:t>
      </w:r>
      <w:r>
        <w:rPr>
          <w:rFonts w:hint="eastAsia" w:ascii="宋体" w:hAnsi="Times New Roman" w:eastAsia="宋体" w:cs="Times New Roman"/>
          <w:sz w:val="21"/>
          <w:lang w:val="en-US" w:eastAsia="zh-CN" w:bidi="ar-SA"/>
        </w:rPr>
        <w:t>、爆燃、机械伤害等。废水中含有多种有毒有害气体，对人体呼吸道有较强的刺激性。生活废水与医疗废水中可能含有各种病原体如细菌、病毒、寄生虫等</w:t>
      </w:r>
      <w:r>
        <w:rPr>
          <w:rFonts w:hint="eastAsia" w:cs="Times New Roman"/>
          <w:sz w:val="21"/>
          <w:lang w:val="en-US" w:eastAsia="zh-CN" w:bidi="ar-SA"/>
        </w:rPr>
        <w:t>，</w:t>
      </w:r>
      <w:r>
        <w:rPr>
          <w:rFonts w:hint="eastAsia" w:ascii="宋体" w:hAnsi="Times New Roman" w:eastAsia="宋体" w:cs="Times New Roman"/>
          <w:sz w:val="21"/>
          <w:lang w:val="en-US" w:eastAsia="zh-CN" w:bidi="ar-SA"/>
        </w:rPr>
        <w:t>可能</w:t>
      </w:r>
      <w:r>
        <w:rPr>
          <w:rFonts w:hint="eastAsia" w:cs="Times New Roman"/>
          <w:sz w:val="21"/>
          <w:lang w:val="en-US" w:eastAsia="zh-CN" w:bidi="ar-SA"/>
        </w:rPr>
        <w:t>产生生物性伤害</w:t>
      </w:r>
      <w:r>
        <w:rPr>
          <w:rFonts w:hint="eastAsia" w:ascii="宋体" w:hAnsi="Times New Roman" w:eastAsia="宋体" w:cs="Times New Roman"/>
          <w:sz w:val="21"/>
          <w:lang w:val="en-US" w:eastAsia="zh-CN" w:bidi="ar-SA"/>
        </w:rPr>
        <w:t>。废水处理设施的包括地下层、中间层（或地上多层）和顶层，</w:t>
      </w:r>
      <w:r>
        <w:rPr>
          <w:rFonts w:hint="eastAsia" w:cs="Times New Roman"/>
          <w:sz w:val="21"/>
          <w:lang w:val="en-US" w:eastAsia="zh-CN" w:bidi="ar-SA"/>
        </w:rPr>
        <w:t>监测点与水面有较大高度差，</w:t>
      </w:r>
      <w:r>
        <w:rPr>
          <w:rFonts w:hint="eastAsia" w:ascii="宋体" w:hAnsi="Times New Roman" w:eastAsia="宋体" w:cs="Times New Roman"/>
          <w:sz w:val="21"/>
          <w:lang w:val="en-US" w:eastAsia="zh-CN" w:bidi="ar-SA"/>
        </w:rPr>
        <w:t>有高空坠落的风险。废水中可能含有部分可燃性液体与气体如沼气、汽油、乙醇等，有爆燃的风险。废水处理设施</w:t>
      </w:r>
      <w:r>
        <w:rPr>
          <w:rFonts w:hint="eastAsia" w:cs="Times New Roman"/>
          <w:sz w:val="21"/>
          <w:lang w:val="en-US" w:eastAsia="zh-CN" w:bidi="ar-SA"/>
        </w:rPr>
        <w:t>中</w:t>
      </w:r>
      <w:r>
        <w:rPr>
          <w:rFonts w:hint="eastAsia" w:ascii="宋体" w:hAnsi="Times New Roman" w:eastAsia="宋体" w:cs="Times New Roman"/>
          <w:sz w:val="21"/>
          <w:lang w:val="en-US" w:eastAsia="zh-CN" w:bidi="ar-SA"/>
        </w:rPr>
        <w:t>的泵、破碎机等机械设备，其旋转部件可能对工作人员造成物理伤害。</w:t>
      </w:r>
    </w:p>
    <w:p w14:paraId="5A567BA5">
      <w:pPr>
        <w:pStyle w:val="109"/>
        <w:numPr>
          <w:ilvl w:val="2"/>
          <w:numId w:val="37"/>
        </w:numPr>
        <w:spacing w:before="156" w:after="156"/>
        <w:ind w:left="0" w:leftChars="0" w:firstLineChars="0"/>
        <w:rPr>
          <w:rFonts w:hint="eastAsia"/>
          <w:lang w:val="en-US" w:eastAsia="zh-CN"/>
        </w:rPr>
      </w:pPr>
      <w:r>
        <w:rPr>
          <w:rFonts w:hint="eastAsia"/>
          <w:lang w:val="en-US" w:eastAsia="zh-CN"/>
        </w:rPr>
        <w:t>空气监测</w:t>
      </w:r>
    </w:p>
    <w:p w14:paraId="3F754114">
      <w:pPr>
        <w:pStyle w:val="109"/>
        <w:numPr>
          <w:ilvl w:val="3"/>
          <w:numId w:val="37"/>
        </w:numPr>
        <w:spacing w:before="156" w:after="156"/>
        <w:rPr>
          <w:rFonts w:hint="eastAsia"/>
          <w:lang w:val="en-US" w:eastAsia="zh-CN"/>
        </w:rPr>
      </w:pPr>
      <w:r>
        <w:rPr>
          <w:rFonts w:hint="eastAsia"/>
          <w:lang w:val="en-US" w:eastAsia="zh-CN"/>
        </w:rPr>
        <w:t>环境空气监测</w:t>
      </w:r>
    </w:p>
    <w:p w14:paraId="346D4EC9">
      <w:pPr>
        <w:pStyle w:val="59"/>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lang w:val="en-US" w:eastAsia="zh-CN"/>
        </w:rPr>
        <w:t>环境</w:t>
      </w:r>
      <w:r>
        <w:rPr>
          <w:rFonts w:hint="eastAsia"/>
        </w:rPr>
        <w:t>空气监测过程中</w:t>
      </w:r>
      <w:r>
        <w:rPr>
          <w:rFonts w:hint="eastAsia"/>
          <w:lang w:val="en-US" w:eastAsia="zh-CN"/>
        </w:rPr>
        <w:t>的</w:t>
      </w:r>
      <w:r>
        <w:rPr>
          <w:rFonts w:hint="eastAsia"/>
          <w:lang w:eastAsia="zh-CN"/>
        </w:rPr>
        <w:t>危险源包括</w:t>
      </w:r>
      <w:r>
        <w:rPr>
          <w:rFonts w:hint="eastAsia" w:hAnsi="宋体" w:cs="宋体"/>
          <w:kern w:val="0"/>
          <w:szCs w:val="21"/>
          <w:lang w:val="en-US" w:eastAsia="zh-CN"/>
        </w:rPr>
        <w:t>有毒有害化学试剂</w:t>
      </w:r>
      <w:r>
        <w:rPr>
          <w:rFonts w:hint="eastAsia"/>
          <w:lang w:eastAsia="zh-CN"/>
        </w:rPr>
        <w:t>、高空坠落、交通风险等。采样过程中使用的吸收液（如含强酸、强碱或挥发性有机物的溶液）具有腐蚀性或毒性</w:t>
      </w:r>
      <w:r>
        <w:rPr>
          <w:rFonts w:hint="eastAsia"/>
        </w:rPr>
        <w:t>；当采样点位设于建筑物顶部、高架平台或海拔较高的山区监测塔时，需警惕因护栏缺失、操作平台老化或恶劣天气（如强风、雨雪）引发的高空坠落</w:t>
      </w:r>
      <w:r>
        <w:rPr>
          <w:rFonts w:hint="eastAsia"/>
          <w:lang w:val="en-US" w:eastAsia="zh-CN"/>
        </w:rPr>
        <w:t>风险</w:t>
      </w:r>
      <w:r>
        <w:rPr>
          <w:rFonts w:hint="eastAsia"/>
        </w:rPr>
        <w:t>；</w:t>
      </w:r>
      <w:r>
        <w:rPr>
          <w:rFonts w:hint="eastAsia"/>
          <w:lang w:val="en-US" w:eastAsia="zh-CN"/>
        </w:rPr>
        <w:t>大气环境背景监测点通常</w:t>
      </w:r>
      <w:r>
        <w:rPr>
          <w:rFonts w:hint="eastAsia"/>
        </w:rPr>
        <w:t>海拔较高</w:t>
      </w:r>
      <w:r>
        <w:rPr>
          <w:rFonts w:hint="eastAsia"/>
          <w:lang w:eastAsia="zh-CN"/>
        </w:rPr>
        <w:t>，</w:t>
      </w:r>
      <w:r>
        <w:rPr>
          <w:rFonts w:hint="eastAsia"/>
          <w:lang w:val="en-US" w:eastAsia="zh-CN"/>
        </w:rPr>
        <w:t>交通不便</w:t>
      </w:r>
      <w:r>
        <w:rPr>
          <w:rFonts w:hint="eastAsia"/>
        </w:rPr>
        <w:t>，前往过程需注意交通风险。</w:t>
      </w:r>
    </w:p>
    <w:p w14:paraId="54CC4775">
      <w:pPr>
        <w:pStyle w:val="109"/>
        <w:numPr>
          <w:ilvl w:val="3"/>
          <w:numId w:val="37"/>
        </w:numPr>
        <w:spacing w:before="156" w:after="156"/>
        <w:rPr>
          <w:rFonts w:hint="eastAsia"/>
          <w:lang w:val="en-US" w:eastAsia="zh-CN"/>
        </w:rPr>
      </w:pPr>
      <w:r>
        <w:rPr>
          <w:rFonts w:hint="eastAsia"/>
          <w:lang w:val="en-US" w:eastAsia="zh-CN"/>
        </w:rPr>
        <w:t>废气监测</w:t>
      </w:r>
    </w:p>
    <w:p w14:paraId="76C06FDA">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eastAsia"/>
          <w:lang w:val="en-US" w:eastAsia="zh-CN"/>
        </w:rPr>
      </w:pPr>
      <w:r>
        <w:rPr>
          <w:rFonts w:hint="eastAsia"/>
          <w:lang w:val="en-US" w:eastAsia="zh-CN"/>
        </w:rPr>
        <w:t>废气</w:t>
      </w:r>
      <w:r>
        <w:rPr>
          <w:rFonts w:hint="eastAsia"/>
          <w:lang w:eastAsia="zh-CN"/>
        </w:rPr>
        <w:t>监测</w:t>
      </w:r>
      <w:r>
        <w:rPr>
          <w:rFonts w:hint="eastAsia" w:ascii="Times New Roman"/>
          <w:szCs w:val="21"/>
          <w:lang w:eastAsia="zh-CN"/>
        </w:rPr>
        <w:t>过程中</w:t>
      </w:r>
      <w:r>
        <w:rPr>
          <w:rFonts w:hint="eastAsia" w:ascii="Times New Roman"/>
          <w:szCs w:val="21"/>
          <w:lang w:val="en-US" w:eastAsia="zh-CN"/>
        </w:rPr>
        <w:t>的</w:t>
      </w:r>
      <w:r>
        <w:rPr>
          <w:rFonts w:hint="eastAsia" w:ascii="Times New Roman"/>
          <w:szCs w:val="21"/>
        </w:rPr>
        <w:t>危险源包括</w:t>
      </w:r>
      <w:r>
        <w:rPr>
          <w:rFonts w:hint="eastAsia" w:ascii="Times New Roman"/>
          <w:szCs w:val="21"/>
          <w:lang w:eastAsia="zh-CN"/>
        </w:rPr>
        <w:t>高空坠落</w:t>
      </w:r>
      <w:r>
        <w:rPr>
          <w:rFonts w:hint="eastAsia" w:ascii="Times New Roman"/>
          <w:szCs w:val="21"/>
        </w:rPr>
        <w:t>、烫伤、</w:t>
      </w:r>
      <w:r>
        <w:rPr>
          <w:rFonts w:hint="eastAsia" w:ascii="Times New Roman" w:hAnsi="Times New Roman" w:cs="Times New Roman"/>
          <w:kern w:val="0"/>
          <w:szCs w:val="21"/>
          <w:lang w:val="en-US" w:eastAsia="zh-CN"/>
        </w:rPr>
        <w:t>有毒气体</w:t>
      </w:r>
      <w:r>
        <w:rPr>
          <w:rFonts w:hint="eastAsia" w:ascii="Times New Roman"/>
          <w:szCs w:val="21"/>
        </w:rPr>
        <w:t>、爆炸、恶劣天气等。</w:t>
      </w:r>
      <w:r>
        <w:rPr>
          <w:rFonts w:hint="eastAsia" w:ascii="Times New Roman"/>
          <w:szCs w:val="21"/>
          <w:lang w:val="en-US" w:eastAsia="zh-CN"/>
        </w:rPr>
        <w:t>当</w:t>
      </w:r>
      <w:r>
        <w:rPr>
          <w:rFonts w:hint="eastAsia" w:ascii="Times New Roman"/>
          <w:szCs w:val="21"/>
        </w:rPr>
        <w:t>监测点位设置在烟囱、排气筒（高度通常10-50米）、建筑物屋顶等高空位置，需攀爬脚手架、梯子或在悬空平台作业</w:t>
      </w:r>
      <w:r>
        <w:rPr>
          <w:rFonts w:hint="eastAsia" w:ascii="Times New Roman"/>
          <w:szCs w:val="21"/>
          <w:lang w:val="en-US" w:eastAsia="zh-CN"/>
        </w:rPr>
        <w:t>，有坠落风险</w:t>
      </w:r>
      <w:r>
        <w:rPr>
          <w:rFonts w:hint="eastAsia" w:ascii="Times New Roman"/>
          <w:szCs w:val="21"/>
        </w:rPr>
        <w:t>；</w:t>
      </w:r>
      <w:r>
        <w:rPr>
          <w:rFonts w:hint="eastAsia" w:ascii="Times New Roman"/>
          <w:szCs w:val="21"/>
          <w:lang w:val="en-US" w:eastAsia="zh-CN"/>
        </w:rPr>
        <w:t>同时</w:t>
      </w:r>
      <w:r>
        <w:rPr>
          <w:rFonts w:hint="eastAsia" w:ascii="Times New Roman"/>
          <w:szCs w:val="21"/>
        </w:rPr>
        <w:t>工业生产（如冶</w:t>
      </w:r>
      <w:r>
        <w:rPr>
          <w:rFonts w:hint="eastAsia"/>
        </w:rPr>
        <w:t>金</w:t>
      </w:r>
      <w:r>
        <w:rPr>
          <w:rFonts w:hint="eastAsia" w:ascii="Times New Roman"/>
          <w:szCs w:val="21"/>
        </w:rPr>
        <w:t>、火力发电、焚烧炉）排放的废气温度可达100℃以上，若采样管道密封不良或设备故障，高温气体泄漏可能直接灼伤操作人员。部分监测仪器（如红外气体分析仪、加热式采样探头）为保证测量精度，需维持高温运行（如120-200℃），接触探头、加热管线等部件易引发烫伤。在有限的空间里，现场存在的有毒、有害、恶臭、可燃性气体具有较大的安全隐患。</w:t>
      </w:r>
    </w:p>
    <w:p w14:paraId="6B80A2D5">
      <w:pPr>
        <w:pStyle w:val="109"/>
        <w:numPr>
          <w:ilvl w:val="2"/>
          <w:numId w:val="37"/>
        </w:numPr>
        <w:spacing w:before="156" w:after="156"/>
        <w:ind w:left="0" w:leftChars="0" w:firstLineChars="0"/>
      </w:pPr>
      <w:r>
        <w:rPr>
          <w:rFonts w:hint="eastAsia"/>
          <w:lang w:eastAsia="zh-CN"/>
        </w:rPr>
        <w:t>噪声</w:t>
      </w:r>
      <w:r>
        <w:rPr>
          <w:rFonts w:hint="eastAsia"/>
          <w:lang w:val="en-US" w:eastAsia="zh-CN"/>
        </w:rPr>
        <w:t>监测</w:t>
      </w:r>
    </w:p>
    <w:p w14:paraId="6CB6E299">
      <w:pPr>
        <w:pStyle w:val="59"/>
        <w:keepNext w:val="0"/>
        <w:keepLines w:val="0"/>
        <w:pageBreakBefore w:val="0"/>
        <w:widowControl/>
        <w:kinsoku/>
        <w:wordWrap/>
        <w:overflowPunct/>
        <w:topLinePunct w:val="0"/>
        <w:autoSpaceDE w:val="0"/>
        <w:autoSpaceDN w:val="0"/>
        <w:bidi w:val="0"/>
        <w:adjustRightInd/>
        <w:snapToGrid/>
        <w:ind w:firstLine="420"/>
        <w:textAlignment w:val="auto"/>
        <w:rPr>
          <w:rFonts w:hint="eastAsia"/>
          <w:lang w:eastAsia="zh-CN"/>
        </w:rPr>
      </w:pPr>
      <w:r>
        <w:rPr>
          <w:rFonts w:hint="eastAsia"/>
          <w:lang w:eastAsia="zh-CN"/>
        </w:rPr>
        <w:t>噪声</w:t>
      </w:r>
      <w:r>
        <w:rPr>
          <w:rFonts w:hint="eastAsia"/>
        </w:rPr>
        <w:t>监测过程中</w:t>
      </w:r>
      <w:r>
        <w:rPr>
          <w:rFonts w:hint="eastAsia"/>
          <w:lang w:val="en-US" w:eastAsia="zh-CN"/>
        </w:rPr>
        <w:t>的</w:t>
      </w:r>
      <w:r>
        <w:rPr>
          <w:rFonts w:hint="eastAsia"/>
          <w:lang w:eastAsia="zh-CN"/>
        </w:rPr>
        <w:t>危险源包括噪声伤害</w:t>
      </w:r>
      <w:r>
        <w:rPr>
          <w:rFonts w:hint="eastAsia"/>
        </w:rPr>
        <w:t>、</w:t>
      </w:r>
      <w:r>
        <w:rPr>
          <w:rFonts w:hint="eastAsia"/>
          <w:lang w:eastAsia="zh-CN"/>
        </w:rPr>
        <w:t>交通</w:t>
      </w:r>
      <w:r>
        <w:rPr>
          <w:rFonts w:hint="eastAsia"/>
          <w:lang w:val="en-US" w:eastAsia="zh-CN"/>
        </w:rPr>
        <w:t>风险</w:t>
      </w:r>
      <w:r>
        <w:rPr>
          <w:rFonts w:hint="eastAsia"/>
        </w:rPr>
        <w:t>、</w:t>
      </w:r>
      <w:r>
        <w:rPr>
          <w:rFonts w:hint="eastAsia"/>
          <w:lang w:val="en-US" w:eastAsia="zh-CN"/>
        </w:rPr>
        <w:t>触电</w:t>
      </w:r>
      <w:r>
        <w:rPr>
          <w:rFonts w:hint="eastAsia"/>
        </w:rPr>
        <w:t>、</w:t>
      </w:r>
      <w:r>
        <w:rPr>
          <w:rFonts w:hint="eastAsia"/>
          <w:lang w:val="en-US" w:eastAsia="zh-CN"/>
        </w:rPr>
        <w:t>机械伤害</w:t>
      </w:r>
      <w:r>
        <w:rPr>
          <w:rFonts w:hint="eastAsia"/>
          <w:lang w:eastAsia="zh-CN"/>
        </w:rPr>
        <w:t>。</w:t>
      </w:r>
      <w:r>
        <w:rPr>
          <w:rFonts w:hint="eastAsia"/>
        </w:rPr>
        <w:t>直接在声源附近（如风机房、施工现场、机场跑道）开展监测，</w:t>
      </w:r>
      <w:r>
        <w:rPr>
          <w:rFonts w:hint="eastAsia"/>
          <w:lang w:val="en-US" w:eastAsia="zh-CN"/>
        </w:rPr>
        <w:t>长时间</w:t>
      </w:r>
      <w:r>
        <w:rPr>
          <w:rFonts w:hint="eastAsia"/>
        </w:rPr>
        <w:t>暴露于强噪声环境</w:t>
      </w:r>
      <w:r>
        <w:rPr>
          <w:rFonts w:hint="eastAsia"/>
          <w:lang w:eastAsia="zh-CN"/>
        </w:rPr>
        <w:t>，</w:t>
      </w:r>
      <w:r>
        <w:rPr>
          <w:rFonts w:hint="eastAsia"/>
          <w:lang w:val="en-US" w:eastAsia="zh-CN"/>
        </w:rPr>
        <w:t>会对</w:t>
      </w:r>
      <w:r>
        <w:rPr>
          <w:rFonts w:hint="eastAsia"/>
        </w:rPr>
        <w:t>人体健康造成多方面危害；监测设备（如传声器）靠近高压设备（如变压器）或机械运转部件，存在触电或机械伤害风险。夜间或野外监测（如公路噪声）时，作业人员处于交通要道附近，</w:t>
      </w:r>
      <w:r>
        <w:rPr>
          <w:rFonts w:hint="eastAsia"/>
          <w:lang w:val="en-US" w:eastAsia="zh-CN"/>
        </w:rPr>
        <w:t>存在交通事故风险</w:t>
      </w:r>
      <w:r>
        <w:rPr>
          <w:rFonts w:hint="eastAsia"/>
        </w:rPr>
        <w:t>。</w:t>
      </w:r>
    </w:p>
    <w:p w14:paraId="68B00AF0">
      <w:pPr>
        <w:pStyle w:val="109"/>
        <w:numPr>
          <w:ilvl w:val="2"/>
          <w:numId w:val="37"/>
        </w:numPr>
        <w:spacing w:before="156" w:after="156"/>
        <w:ind w:left="0" w:leftChars="0" w:firstLineChars="0"/>
        <w:rPr>
          <w:rFonts w:hint="eastAsia"/>
          <w:lang w:eastAsia="zh-CN"/>
        </w:rPr>
      </w:pPr>
      <w:r>
        <w:rPr>
          <w:rFonts w:hint="eastAsia"/>
          <w:lang w:eastAsia="zh-CN"/>
        </w:rPr>
        <w:t>振动监测</w:t>
      </w:r>
    </w:p>
    <w:p w14:paraId="3941D7AD">
      <w:pPr>
        <w:pStyle w:val="59"/>
        <w:ind w:firstLine="420"/>
        <w:rPr>
          <w:rFonts w:hint="eastAsia" w:eastAsia="宋体"/>
          <w:lang w:eastAsia="zh-CN"/>
        </w:rPr>
      </w:pPr>
      <w:r>
        <w:rPr>
          <w:rFonts w:hint="eastAsia"/>
          <w:lang w:val="en-US" w:eastAsia="zh-CN"/>
        </w:rPr>
        <w:t>振动</w:t>
      </w:r>
      <w:r>
        <w:rPr>
          <w:rFonts w:hint="eastAsia"/>
        </w:rPr>
        <w:t>监测过程中</w:t>
      </w:r>
      <w:r>
        <w:rPr>
          <w:rFonts w:hint="eastAsia"/>
          <w:lang w:val="en-US" w:eastAsia="zh-CN"/>
        </w:rPr>
        <w:t>的</w:t>
      </w:r>
      <w:r>
        <w:rPr>
          <w:rFonts w:hint="eastAsia"/>
          <w:lang w:eastAsia="zh-CN"/>
        </w:rPr>
        <w:t>危险源包括</w:t>
      </w:r>
      <w:r>
        <w:rPr>
          <w:rFonts w:hint="eastAsia"/>
          <w:lang w:val="en-US" w:eastAsia="zh-CN"/>
        </w:rPr>
        <w:t>噪声伤害与交通风险。振动监测过程中，监测人员长期</w:t>
      </w:r>
      <w:r>
        <w:rPr>
          <w:rFonts w:hint="eastAsia"/>
        </w:rPr>
        <w:t>暴露</w:t>
      </w:r>
      <w:r>
        <w:rPr>
          <w:rFonts w:hint="eastAsia"/>
          <w:lang w:val="en-US" w:eastAsia="zh-CN"/>
        </w:rPr>
        <w:t>于</w:t>
      </w:r>
      <w:r>
        <w:rPr>
          <w:rFonts w:hint="eastAsia"/>
        </w:rPr>
        <w:t>低频噪声</w:t>
      </w:r>
      <w:r>
        <w:rPr>
          <w:rFonts w:hint="eastAsia"/>
          <w:lang w:val="en-US" w:eastAsia="zh-CN"/>
        </w:rPr>
        <w:t>环境，</w:t>
      </w:r>
      <w:r>
        <w:rPr>
          <w:rFonts w:hint="eastAsia"/>
        </w:rPr>
        <w:t>可能导致</w:t>
      </w:r>
      <w:r>
        <w:rPr>
          <w:rFonts w:hint="eastAsia"/>
          <w:lang w:val="en-US" w:eastAsia="zh-CN"/>
        </w:rPr>
        <w:t>人体健康受损</w:t>
      </w:r>
      <w:r>
        <w:rPr>
          <w:rFonts w:hint="eastAsia"/>
        </w:rPr>
        <w:t>；于交通干线周边作业时，高速行驶的列车产生的强气流可能导致人员重心失衡，</w:t>
      </w:r>
      <w:r>
        <w:rPr>
          <w:rFonts w:hint="eastAsia"/>
          <w:lang w:val="en-US" w:eastAsia="zh-CN"/>
        </w:rPr>
        <w:t>存在交通事故风险</w:t>
      </w:r>
      <w:r>
        <w:rPr>
          <w:rFonts w:hint="eastAsia"/>
        </w:rPr>
        <w:t>。</w:t>
      </w:r>
    </w:p>
    <w:p w14:paraId="33BE01C2">
      <w:pPr>
        <w:pStyle w:val="109"/>
        <w:numPr>
          <w:ilvl w:val="2"/>
          <w:numId w:val="37"/>
        </w:numPr>
        <w:spacing w:before="156" w:after="156"/>
        <w:ind w:left="0" w:leftChars="0" w:firstLineChars="0"/>
        <w:rPr>
          <w:rFonts w:hint="eastAsia"/>
          <w:lang w:eastAsia="zh-CN"/>
        </w:rPr>
      </w:pPr>
      <w:r>
        <w:rPr>
          <w:rFonts w:hint="eastAsia"/>
          <w:lang w:eastAsia="zh-CN"/>
        </w:rPr>
        <w:t>土壤监测</w:t>
      </w:r>
    </w:p>
    <w:p w14:paraId="59A174A8">
      <w:pPr>
        <w:pStyle w:val="59"/>
        <w:ind w:firstLine="420"/>
        <w:rPr>
          <w:rFonts w:hint="eastAsia" w:hAnsi="宋体" w:eastAsia="宋体"/>
          <w:lang w:val="en-US" w:eastAsia="zh-CN"/>
        </w:rPr>
      </w:pPr>
      <w:r>
        <w:rPr>
          <w:rFonts w:hint="eastAsia"/>
          <w:lang w:eastAsia="zh-CN"/>
        </w:rPr>
        <w:t>土壤</w:t>
      </w:r>
      <w:r>
        <w:rPr>
          <w:rFonts w:hint="eastAsia" w:hAnsi="宋体"/>
          <w:lang w:eastAsia="zh-CN"/>
        </w:rPr>
        <w:t>监测过程中</w:t>
      </w:r>
      <w:r>
        <w:rPr>
          <w:rFonts w:hint="eastAsia" w:hAnsi="宋体"/>
          <w:lang w:val="en-US" w:eastAsia="zh-CN"/>
        </w:rPr>
        <w:t>的</w:t>
      </w:r>
      <w:r>
        <w:rPr>
          <w:rFonts w:hint="eastAsia" w:hAnsi="宋体"/>
          <w:lang w:eastAsia="zh-CN"/>
        </w:rPr>
        <w:t>危险源包括</w:t>
      </w:r>
      <w:r>
        <w:rPr>
          <w:rFonts w:hint="eastAsia"/>
          <w:lang w:val="en-US" w:eastAsia="zh-CN"/>
        </w:rPr>
        <w:t>有毒有害物质暴露</w:t>
      </w:r>
      <w:r>
        <w:rPr>
          <w:rFonts w:hint="eastAsia" w:hAnsi="宋体"/>
          <w:lang w:eastAsia="zh-CN"/>
        </w:rPr>
        <w:t>、</w:t>
      </w:r>
      <w:r>
        <w:rPr>
          <w:rFonts w:hint="eastAsia"/>
          <w:lang w:val="en-US" w:eastAsia="zh-CN"/>
        </w:rPr>
        <w:t>机械伤害</w:t>
      </w:r>
      <w:r>
        <w:rPr>
          <w:rFonts w:hint="eastAsia" w:hAnsi="宋体"/>
          <w:lang w:eastAsia="zh-CN"/>
        </w:rPr>
        <w:t>、生物危害、</w:t>
      </w:r>
      <w:r>
        <w:rPr>
          <w:rFonts w:hint="eastAsia" w:hAnsi="宋体"/>
          <w:lang w:val="en-US" w:eastAsia="zh-CN"/>
        </w:rPr>
        <w:t>高空坠物</w:t>
      </w:r>
      <w:r>
        <w:rPr>
          <w:rFonts w:hint="eastAsia" w:hAnsi="宋体"/>
          <w:lang w:eastAsia="zh-CN"/>
        </w:rPr>
        <w:t>、</w:t>
      </w:r>
      <w:r>
        <w:rPr>
          <w:rFonts w:hint="eastAsia" w:hAnsi="宋体" w:cs="宋体"/>
          <w:lang w:val="en-US" w:eastAsia="zh-CN"/>
        </w:rPr>
        <w:t>坍塌掩埋</w:t>
      </w:r>
      <w:r>
        <w:rPr>
          <w:rFonts w:hint="eastAsia" w:hAnsi="宋体"/>
          <w:lang w:eastAsia="zh-CN"/>
        </w:rPr>
        <w:t>、交通风险</w:t>
      </w:r>
      <w:r>
        <w:rPr>
          <w:rFonts w:hint="eastAsia" w:hAnsi="宋体"/>
          <w:lang w:val="en-US" w:eastAsia="zh-CN"/>
        </w:rPr>
        <w:t>和</w:t>
      </w:r>
      <w:r>
        <w:rPr>
          <w:rFonts w:hint="eastAsia" w:hAnsi="宋体"/>
          <w:lang w:eastAsia="zh-CN"/>
        </w:rPr>
        <w:t>失联等。</w:t>
      </w:r>
      <w:r>
        <w:rPr>
          <w:rFonts w:hint="eastAsia" w:hAnsi="宋体"/>
          <w:lang w:val="en-US" w:eastAsia="zh-CN"/>
        </w:rPr>
        <w:t>农用地</w:t>
      </w:r>
      <w:r>
        <w:rPr>
          <w:rFonts w:hint="eastAsia" w:hAnsi="宋体"/>
          <w:lang w:eastAsia="zh-CN"/>
        </w:rPr>
        <w:t>土壤</w:t>
      </w:r>
      <w:r>
        <w:rPr>
          <w:rFonts w:hint="eastAsia" w:hAnsi="宋体"/>
          <w:lang w:val="en-US" w:eastAsia="zh-CN"/>
        </w:rPr>
        <w:t>监测</w:t>
      </w:r>
      <w:r>
        <w:rPr>
          <w:rFonts w:hint="eastAsia" w:hAnsi="宋体"/>
          <w:lang w:eastAsia="zh-CN"/>
        </w:rPr>
        <w:t>采样地点远离市区，</w:t>
      </w:r>
      <w:r>
        <w:rPr>
          <w:rFonts w:hint="eastAsia" w:hAnsi="宋体"/>
          <w:lang w:val="en-US" w:eastAsia="zh-CN"/>
        </w:rPr>
        <w:t>道路条件差，存在</w:t>
      </w:r>
      <w:r>
        <w:rPr>
          <w:rFonts w:hint="eastAsia" w:hAnsi="宋体"/>
          <w:lang w:eastAsia="zh-CN"/>
        </w:rPr>
        <w:t>交通风险。</w:t>
      </w:r>
      <w:r>
        <w:rPr>
          <w:rFonts w:hint="eastAsia" w:hAnsi="宋体"/>
        </w:rPr>
        <w:t>在山谷、林地等野外场所进行土壤采样时</w:t>
      </w:r>
      <w:r>
        <w:rPr>
          <w:rFonts w:hint="eastAsia" w:hAnsi="宋体"/>
          <w:lang w:eastAsia="zh-CN"/>
        </w:rPr>
        <w:t>，</w:t>
      </w:r>
      <w:r>
        <w:rPr>
          <w:rFonts w:hint="eastAsia" w:hAnsi="宋体"/>
          <w:lang w:val="en-US" w:eastAsia="zh-CN"/>
        </w:rPr>
        <w:t>存在植物毒性刺激和虫兽袭击风险</w:t>
      </w:r>
      <w:r>
        <w:rPr>
          <w:rFonts w:hint="eastAsia" w:hAnsi="宋体"/>
        </w:rPr>
        <w:t>。缺乏野外工作经验的工作人员</w:t>
      </w:r>
      <w:r>
        <w:rPr>
          <w:rFonts w:hint="eastAsia" w:hAnsi="宋体"/>
          <w:lang w:val="en-US" w:eastAsia="zh-CN"/>
        </w:rPr>
        <w:t>可能迷失方向</w:t>
      </w:r>
      <w:r>
        <w:rPr>
          <w:rFonts w:hint="eastAsia" w:hAnsi="宋体"/>
        </w:rPr>
        <w:t>，</w:t>
      </w:r>
      <w:r>
        <w:rPr>
          <w:rFonts w:hint="eastAsia" w:hAnsi="宋体"/>
          <w:lang w:val="en-US" w:eastAsia="zh-CN"/>
        </w:rPr>
        <w:t>在</w:t>
      </w:r>
      <w:r>
        <w:rPr>
          <w:rFonts w:hint="eastAsia" w:hAnsi="宋体"/>
        </w:rPr>
        <w:t>部分偏僻地区信号较差，常规通讯设备很难做到及时与外界沟通，</w:t>
      </w:r>
      <w:r>
        <w:rPr>
          <w:rFonts w:hint="eastAsia" w:hAnsi="宋体"/>
          <w:lang w:val="en-US" w:eastAsia="zh-CN"/>
        </w:rPr>
        <w:t>存在</w:t>
      </w:r>
      <w:r>
        <w:rPr>
          <w:rFonts w:hint="eastAsia" w:hAnsi="宋体"/>
        </w:rPr>
        <w:t>失联风险。</w:t>
      </w:r>
      <w:r>
        <w:rPr>
          <w:rFonts w:hint="eastAsia" w:hAnsi="宋体"/>
          <w:lang w:val="en-US" w:eastAsia="zh-CN"/>
        </w:rPr>
        <w:t>采样工具操作不当，存在机械伤害的风险；建设用地土壤监测过程中，可能吸入粉尘和有毒有害气体;部分建设用地</w:t>
      </w:r>
      <w:r>
        <w:rPr>
          <w:rFonts w:hint="eastAsia" w:ascii="宋体" w:hAnsi="宋体" w:eastAsia="宋体" w:cs="Times New Roman"/>
          <w:i w:val="0"/>
          <w:iCs w:val="0"/>
          <w:caps w:val="0"/>
          <w:spacing w:val="0"/>
          <w:sz w:val="21"/>
          <w:szCs w:val="20"/>
          <w:shd w:val="clear" w:fill="auto"/>
        </w:rPr>
        <w:t>护栏缺失或结构老化</w:t>
      </w:r>
      <w:r>
        <w:rPr>
          <w:rFonts w:hint="eastAsia" w:ascii="宋体" w:hAnsi="宋体" w:cs="Times New Roman"/>
          <w:i w:val="0"/>
          <w:iCs w:val="0"/>
          <w:caps w:val="0"/>
          <w:spacing w:val="0"/>
          <w:sz w:val="21"/>
          <w:szCs w:val="20"/>
          <w:shd w:val="clear" w:fill="auto"/>
          <w:lang w:eastAsia="zh-CN"/>
        </w:rPr>
        <w:t>，</w:t>
      </w:r>
      <w:r>
        <w:rPr>
          <w:rFonts w:hint="eastAsia" w:ascii="宋体" w:hAnsi="宋体" w:cs="Times New Roman"/>
          <w:i w:val="0"/>
          <w:iCs w:val="0"/>
          <w:caps w:val="0"/>
          <w:spacing w:val="0"/>
          <w:sz w:val="21"/>
          <w:szCs w:val="20"/>
          <w:shd w:val="clear" w:fill="auto"/>
          <w:lang w:val="en-US" w:eastAsia="zh-CN"/>
        </w:rPr>
        <w:t>存在高空坠物风险</w:t>
      </w:r>
      <w:r>
        <w:rPr>
          <w:rFonts w:hint="eastAsia" w:hAnsi="宋体" w:cs="Times New Roman"/>
          <w:i w:val="0"/>
          <w:iCs w:val="0"/>
          <w:caps w:val="0"/>
          <w:spacing w:val="0"/>
          <w:sz w:val="21"/>
          <w:szCs w:val="20"/>
          <w:shd w:val="clear"/>
          <w:lang w:val="en-US" w:eastAsia="zh-CN"/>
        </w:rPr>
        <w:t>；</w:t>
      </w:r>
      <w:r>
        <w:rPr>
          <w:rFonts w:hint="eastAsia" w:hAnsi="宋体"/>
          <w:lang w:val="en-US" w:eastAsia="zh-CN"/>
        </w:rPr>
        <w:t>采样点</w:t>
      </w:r>
      <w:r>
        <w:rPr>
          <w:rFonts w:hint="eastAsia" w:hAnsi="宋体"/>
        </w:rPr>
        <w:t>存在人工回填土、建筑垃圾堆填区时，填土结构松散、颗粒级配不均，</w:t>
      </w:r>
      <w:r>
        <w:rPr>
          <w:rFonts w:hint="eastAsia" w:ascii="宋体" w:hAnsi="宋体" w:cs="Times New Roman"/>
          <w:i w:val="0"/>
          <w:iCs w:val="0"/>
          <w:caps w:val="0"/>
          <w:spacing w:val="0"/>
          <w:sz w:val="21"/>
          <w:szCs w:val="20"/>
          <w:shd w:val="clear"/>
          <w:lang w:val="en-US" w:eastAsia="zh-CN"/>
        </w:rPr>
        <w:t>存在</w:t>
      </w:r>
      <w:r>
        <w:rPr>
          <w:rFonts w:hint="eastAsia" w:hAnsi="宋体"/>
        </w:rPr>
        <w:t>局部垮塌掩埋</w:t>
      </w:r>
      <w:r>
        <w:rPr>
          <w:rFonts w:hint="eastAsia" w:hAnsi="宋体"/>
          <w:lang w:val="en-US" w:eastAsia="zh-CN"/>
        </w:rPr>
        <w:t>风险</w:t>
      </w:r>
      <w:r>
        <w:rPr>
          <w:rFonts w:hint="eastAsia" w:hAnsi="宋体"/>
        </w:rPr>
        <w:t>。</w:t>
      </w:r>
    </w:p>
    <w:p w14:paraId="7932CC03">
      <w:pPr>
        <w:pStyle w:val="109"/>
        <w:numPr>
          <w:ilvl w:val="2"/>
          <w:numId w:val="37"/>
        </w:numPr>
        <w:spacing w:before="156" w:after="156"/>
        <w:ind w:left="0" w:leftChars="0" w:firstLineChars="0"/>
        <w:rPr>
          <w:rFonts w:hint="eastAsia"/>
          <w:lang w:eastAsia="zh-CN"/>
        </w:rPr>
      </w:pPr>
      <w:r>
        <w:rPr>
          <w:rFonts w:hint="eastAsia"/>
          <w:lang w:val="en-US" w:eastAsia="zh-CN"/>
        </w:rPr>
        <w:t>水系沉积物</w:t>
      </w:r>
    </w:p>
    <w:p w14:paraId="49BA3F47">
      <w:pPr>
        <w:pStyle w:val="59"/>
        <w:rPr>
          <w:rFonts w:hint="eastAsia" w:eastAsia="宋体"/>
          <w:lang w:val="en-US" w:eastAsia="zh-CN"/>
        </w:rPr>
      </w:pPr>
      <w:r>
        <w:rPr>
          <w:rFonts w:hint="eastAsia"/>
          <w:lang w:val="en-US" w:eastAsia="zh-CN"/>
        </w:rPr>
        <w:t>水系沉积物监测过程中的危险源包括溺水、恶劣天气和生物危害。</w:t>
      </w:r>
      <w:r>
        <w:rPr>
          <w:rFonts w:hint="eastAsia"/>
        </w:rPr>
        <w:t>涉水采样（如浅滩、溪流）时，水底淤泥层承载力不足导致失足陷落</w:t>
      </w:r>
      <w:r>
        <w:rPr>
          <w:rFonts w:hint="eastAsia"/>
          <w:lang w:eastAsia="zh-CN"/>
        </w:rPr>
        <w:t>，</w:t>
      </w:r>
      <w:r>
        <w:rPr>
          <w:rFonts w:hint="eastAsia"/>
          <w:lang w:val="en-US" w:eastAsia="zh-CN"/>
        </w:rPr>
        <w:t>存在</w:t>
      </w:r>
      <w:r>
        <w:rPr>
          <w:rFonts w:hint="eastAsia"/>
        </w:rPr>
        <w:t>溺水</w:t>
      </w:r>
      <w:r>
        <w:rPr>
          <w:rFonts w:hint="eastAsia"/>
          <w:lang w:val="en-US" w:eastAsia="zh-CN"/>
        </w:rPr>
        <w:t>风险</w:t>
      </w:r>
      <w:r>
        <w:rPr>
          <w:rFonts w:hint="eastAsia"/>
        </w:rPr>
        <w:t>。</w:t>
      </w:r>
      <w:r>
        <w:rPr>
          <w:rFonts w:hint="eastAsia" w:ascii="宋体" w:hAnsi="Times New Roman" w:eastAsia="宋体" w:cs="Times New Roman"/>
          <w:i w:val="0"/>
          <w:iCs w:val="0"/>
          <w:caps w:val="0"/>
          <w:spacing w:val="0"/>
          <w:sz w:val="21"/>
          <w:szCs w:val="20"/>
          <w:shd w:val="clear" w:fill="auto"/>
        </w:rPr>
        <w:t>沉积物中携带血吸虫尾蚴、钩端螺旋体等病原微生物，</w:t>
      </w:r>
      <w:r>
        <w:rPr>
          <w:rFonts w:hint="eastAsia" w:ascii="宋体" w:hAnsi="Times New Roman" w:cs="Times New Roman"/>
          <w:i w:val="0"/>
          <w:iCs w:val="0"/>
          <w:caps w:val="0"/>
          <w:spacing w:val="0"/>
          <w:sz w:val="21"/>
          <w:szCs w:val="20"/>
          <w:shd w:val="clear" w:fill="auto"/>
          <w:lang w:val="en-US" w:eastAsia="zh-CN"/>
        </w:rPr>
        <w:t>存在生物危害风险。</w:t>
      </w:r>
    </w:p>
    <w:p w14:paraId="6D12B2F9">
      <w:pPr>
        <w:pStyle w:val="109"/>
        <w:numPr>
          <w:ilvl w:val="2"/>
          <w:numId w:val="37"/>
        </w:numPr>
        <w:spacing w:before="156" w:after="156"/>
        <w:ind w:left="0" w:leftChars="0" w:firstLineChars="0"/>
        <w:rPr>
          <w:rFonts w:hint="eastAsia"/>
          <w:lang w:eastAsia="zh-CN"/>
        </w:rPr>
      </w:pPr>
      <w:r>
        <w:rPr>
          <w:rFonts w:hint="eastAsia"/>
          <w:lang w:val="en-US" w:eastAsia="zh-CN"/>
        </w:rPr>
        <w:t>工业固体废物监测</w:t>
      </w:r>
    </w:p>
    <w:p w14:paraId="70B137F9">
      <w:pPr>
        <w:pStyle w:val="59"/>
        <w:rPr>
          <w:rFonts w:hint="eastAsia"/>
          <w:lang w:eastAsia="zh-CN"/>
        </w:rPr>
      </w:pPr>
      <w:r>
        <w:rPr>
          <w:rFonts w:hint="eastAsia"/>
          <w:lang w:val="en-US" w:eastAsia="zh-CN"/>
        </w:rPr>
        <w:t>工业固</w:t>
      </w:r>
      <w:r>
        <w:rPr>
          <w:rFonts w:hint="eastAsia" w:hAnsi="宋体" w:cs="宋体"/>
        </w:rPr>
        <w:t>废监测</w:t>
      </w:r>
      <w:r>
        <w:rPr>
          <w:rFonts w:hint="eastAsia" w:hAnsi="宋体" w:cs="宋体"/>
          <w:lang w:eastAsia="zh-CN"/>
        </w:rPr>
        <w:t>过程中</w:t>
      </w:r>
      <w:r>
        <w:rPr>
          <w:rFonts w:hint="eastAsia" w:hAnsi="宋体" w:cs="宋体"/>
          <w:lang w:val="en-US" w:eastAsia="zh-CN"/>
        </w:rPr>
        <w:t>的</w:t>
      </w:r>
      <w:r>
        <w:rPr>
          <w:rFonts w:hint="eastAsia" w:hAnsi="宋体" w:cs="宋体"/>
          <w:lang w:eastAsia="zh-CN"/>
        </w:rPr>
        <w:t>危险源包括</w:t>
      </w:r>
      <w:r>
        <w:rPr>
          <w:rFonts w:hint="eastAsia" w:hAnsi="宋体" w:cs="宋体"/>
          <w:lang w:val="en-US" w:eastAsia="zh-CN"/>
        </w:rPr>
        <w:t>有毒有害物质、</w:t>
      </w:r>
      <w:r>
        <w:rPr>
          <w:rFonts w:hint="eastAsia" w:hAnsi="宋体" w:cs="宋体"/>
          <w:lang w:eastAsia="zh-CN"/>
        </w:rPr>
        <w:t>机械伤害</w:t>
      </w:r>
      <w:r>
        <w:rPr>
          <w:rFonts w:hint="eastAsia" w:hAnsi="宋体" w:cs="宋体"/>
          <w:lang w:val="en-US" w:eastAsia="zh-CN"/>
        </w:rPr>
        <w:t>、</w:t>
      </w:r>
      <w:r>
        <w:rPr>
          <w:rFonts w:hint="eastAsia" w:hAnsi="宋体" w:cs="宋体"/>
          <w:lang w:eastAsia="zh-CN"/>
        </w:rPr>
        <w:t>爆炸与爆燃</w:t>
      </w:r>
      <w:r>
        <w:rPr>
          <w:rFonts w:hint="eastAsia" w:hAnsi="宋体" w:cs="宋体"/>
          <w:lang w:val="en-US" w:eastAsia="zh-CN"/>
        </w:rPr>
        <w:t>、</w:t>
      </w:r>
      <w:r>
        <w:rPr>
          <w:rFonts w:hint="eastAsia" w:hAnsi="宋体" w:cs="宋体"/>
          <w:lang w:eastAsia="zh-CN"/>
        </w:rPr>
        <w:t>放射性伤害</w:t>
      </w:r>
      <w:r>
        <w:rPr>
          <w:rFonts w:hint="eastAsia" w:hAnsi="宋体" w:cs="宋体"/>
          <w:lang w:val="en-US" w:eastAsia="zh-CN"/>
        </w:rPr>
        <w:t>和坍塌掩埋</w:t>
      </w:r>
      <w:r>
        <w:rPr>
          <w:rFonts w:hint="eastAsia" w:hAnsi="宋体" w:cs="宋体"/>
          <w:lang w:eastAsia="zh-CN"/>
        </w:rPr>
        <w:t>等。固废中可能含有有害化学物质，如重金属（铅、镉、汞等）、有机污染物（多环芳烃、多氯联苯等）、酸碱物质等，这些物质对环境和人体健康构成潜在威胁。某些固废可能具有尖锐边缘、重量大或尺寸大等特点，处理不当可能导致</w:t>
      </w:r>
      <w:r>
        <w:rPr>
          <w:rFonts w:hint="eastAsia" w:hAnsi="宋体" w:cs="宋体"/>
          <w:lang w:val="en-US" w:eastAsia="zh-CN"/>
        </w:rPr>
        <w:t>机械</w:t>
      </w:r>
      <w:r>
        <w:rPr>
          <w:rFonts w:hint="eastAsia" w:hAnsi="宋体" w:cs="宋体"/>
          <w:lang w:eastAsia="zh-CN"/>
        </w:rPr>
        <w:t>伤害</w:t>
      </w:r>
      <w:r>
        <w:rPr>
          <w:rFonts w:hint="eastAsia" w:hAnsi="宋体" w:cs="宋体"/>
        </w:rPr>
        <w:t>。</w:t>
      </w:r>
      <w:r>
        <w:rPr>
          <w:rFonts w:hint="eastAsia" w:hAnsi="宋体" w:cs="宋体"/>
          <w:lang w:eastAsia="zh-CN"/>
        </w:rPr>
        <w:t>部分固废具有极强的反应性，有爆炸与爆燃的风险。特殊的工业固废内部含有放射性物质，具有潜在的放射性伤害风险。固废堆体（尤其是高聚物、松散颗粒堆积体）可能因堆载过高、雨水渗透或地基沉降发生坍塌，导致人员掩埋或设备损毁。</w:t>
      </w:r>
    </w:p>
    <w:p w14:paraId="5F9FE3C5">
      <w:pPr>
        <w:pStyle w:val="109"/>
        <w:numPr>
          <w:ilvl w:val="2"/>
          <w:numId w:val="37"/>
        </w:numPr>
        <w:spacing w:before="156" w:after="156"/>
        <w:ind w:left="0" w:leftChars="0" w:firstLineChars="0"/>
        <w:rPr>
          <w:rFonts w:hint="eastAsia"/>
          <w:lang w:val="en-US" w:eastAsia="zh-CN"/>
        </w:rPr>
      </w:pPr>
      <w:r>
        <w:rPr>
          <w:rFonts w:hint="eastAsia"/>
          <w:lang w:val="en-US" w:eastAsia="zh-CN"/>
        </w:rPr>
        <w:t>生物监测</w:t>
      </w:r>
    </w:p>
    <w:p w14:paraId="6F01BAE3">
      <w:pPr>
        <w:pStyle w:val="59"/>
        <w:rPr>
          <w:rFonts w:hint="eastAsia"/>
          <w:lang w:val="en-US" w:eastAsia="zh-CN"/>
        </w:rPr>
      </w:pPr>
      <w:r>
        <w:rPr>
          <w:rFonts w:hint="eastAsia"/>
          <w:lang w:val="en-US" w:eastAsia="zh-CN"/>
        </w:rPr>
        <w:t>生物监测的危险源包括</w:t>
      </w:r>
      <w:r>
        <w:rPr>
          <w:rFonts w:hint="eastAsia" w:ascii="Times New Roman"/>
          <w:szCs w:val="21"/>
          <w:lang w:val="en-US" w:eastAsia="zh-CN"/>
        </w:rPr>
        <w:t>9.1</w:t>
      </w:r>
      <w:r>
        <w:rPr>
          <w:rFonts w:hint="eastAsia"/>
          <w:lang w:val="en-US" w:eastAsia="zh-CN"/>
        </w:rPr>
        <w:t>、</w:t>
      </w:r>
      <w:r>
        <w:rPr>
          <w:rFonts w:hint="eastAsia" w:ascii="Times New Roman"/>
          <w:szCs w:val="21"/>
          <w:lang w:val="en-US" w:eastAsia="zh-CN"/>
        </w:rPr>
        <w:t>9.5</w:t>
      </w:r>
      <w:r>
        <w:rPr>
          <w:rFonts w:hint="eastAsia"/>
          <w:lang w:val="en-US" w:eastAsia="zh-CN"/>
        </w:rPr>
        <w:t>、</w:t>
      </w:r>
      <w:r>
        <w:rPr>
          <w:rFonts w:hint="eastAsia" w:ascii="Times New Roman"/>
          <w:szCs w:val="21"/>
          <w:lang w:val="en-US" w:eastAsia="zh-CN"/>
        </w:rPr>
        <w:t>9.6</w:t>
      </w:r>
      <w:r>
        <w:rPr>
          <w:rFonts w:hint="eastAsia"/>
          <w:lang w:val="en-US" w:eastAsia="zh-CN"/>
        </w:rPr>
        <w:t>部分所有辨识的类别。</w:t>
      </w:r>
    </w:p>
    <w:p w14:paraId="5C437CA6">
      <w:pPr>
        <w:pStyle w:val="109"/>
        <w:numPr>
          <w:ilvl w:val="1"/>
          <w:numId w:val="37"/>
        </w:numPr>
        <w:spacing w:before="156" w:after="156"/>
        <w:rPr>
          <w:rFonts w:hint="eastAsia"/>
          <w:lang w:val="en-US" w:eastAsia="zh-CN"/>
        </w:rPr>
      </w:pPr>
      <w:r>
        <w:rPr>
          <w:rFonts w:hint="eastAsia"/>
          <w:lang w:val="en-US" w:eastAsia="zh-CN"/>
        </w:rPr>
        <w:t>风险评价</w:t>
      </w:r>
    </w:p>
    <w:p w14:paraId="78E5C3A8">
      <w:pPr>
        <w:pStyle w:val="59"/>
        <w:ind w:firstLine="420" w:firstLineChars="200"/>
        <w:rPr>
          <w:rFonts w:hint="eastAsia" w:hAnsi="宋体" w:eastAsia="宋体" w:cs="宋体"/>
          <w:lang w:val="en-US" w:eastAsia="zh-CN"/>
        </w:rPr>
      </w:pPr>
      <w:r>
        <w:rPr>
          <w:rFonts w:hint="eastAsia" w:ascii="Times New Roman"/>
          <w:kern w:val="2"/>
          <w:szCs w:val="21"/>
        </w:rPr>
        <w:t>DB42/T</w:t>
      </w:r>
      <w:r>
        <w:rPr>
          <w:rFonts w:hint="eastAsia" w:ascii="Times New Roman"/>
          <w:kern w:val="2"/>
          <w:szCs w:val="21"/>
          <w:lang w:val="en-US" w:eastAsia="zh-CN"/>
        </w:rPr>
        <w:t xml:space="preserve"> </w:t>
      </w:r>
      <w:r>
        <w:rPr>
          <w:rFonts w:hint="eastAsia" w:ascii="Times New Roman"/>
          <w:szCs w:val="21"/>
          <w:lang w:val="en-US" w:eastAsia="zh-CN"/>
        </w:rPr>
        <w:t>XXXX.1</w:t>
      </w:r>
      <w:r>
        <w:rPr>
          <w:rFonts w:hint="eastAsia" w:ascii="Times New Roman"/>
          <w:kern w:val="2"/>
          <w:szCs w:val="21"/>
        </w:rPr>
        <w:t>第</w:t>
      </w:r>
      <w:r>
        <w:rPr>
          <w:rFonts w:hint="eastAsia" w:ascii="Times New Roman"/>
          <w:kern w:val="2"/>
          <w:szCs w:val="21"/>
          <w:lang w:val="en-US" w:eastAsia="zh-CN"/>
        </w:rPr>
        <w:t>10</w:t>
      </w:r>
      <w:r>
        <w:rPr>
          <w:rFonts w:hint="eastAsia" w:ascii="Times New Roman"/>
          <w:kern w:val="2"/>
          <w:szCs w:val="21"/>
        </w:rPr>
        <w:t>部分的内容适用</w:t>
      </w:r>
      <w:r>
        <w:rPr>
          <w:rFonts w:hint="eastAsia" w:ascii="Times New Roman"/>
          <w:kern w:val="2"/>
          <w:szCs w:val="21"/>
          <w:lang w:eastAsia="zh-CN"/>
        </w:rPr>
        <w:t>。</w:t>
      </w:r>
      <w:r>
        <w:rPr>
          <w:rFonts w:hint="eastAsia" w:ascii="Times New Roman"/>
          <w:kern w:val="2"/>
          <w:szCs w:val="21"/>
          <w:lang w:val="en-US" w:eastAsia="zh-CN"/>
        </w:rPr>
        <w:t>推荐使用</w:t>
      </w:r>
      <w:r>
        <w:rPr>
          <w:rFonts w:hint="eastAsia" w:ascii="Times New Roman"/>
          <w:kern w:val="2"/>
          <w:szCs w:val="21"/>
        </w:rPr>
        <w:t>风险矩阵分析法</w:t>
      </w:r>
      <w:r>
        <w:rPr>
          <w:rFonts w:hint="eastAsia" w:ascii="Times New Roman"/>
          <w:kern w:val="2"/>
          <w:szCs w:val="21"/>
          <w:lang w:eastAsia="zh-CN"/>
        </w:rPr>
        <w:t>（</w:t>
      </w:r>
      <w:r>
        <w:rPr>
          <w:rFonts w:hint="eastAsia" w:ascii="Times New Roman"/>
          <w:kern w:val="2"/>
          <w:szCs w:val="21"/>
        </w:rPr>
        <w:t>参见DB42/T</w:t>
      </w:r>
      <w:r>
        <w:rPr>
          <w:rFonts w:hint="eastAsia" w:ascii="Times New Roman"/>
          <w:kern w:val="2"/>
          <w:szCs w:val="21"/>
          <w:lang w:val="en-US" w:eastAsia="zh-CN"/>
        </w:rPr>
        <w:t xml:space="preserve"> </w:t>
      </w:r>
      <w:r>
        <w:rPr>
          <w:rFonts w:hint="eastAsia" w:ascii="Times New Roman"/>
          <w:szCs w:val="21"/>
          <w:lang w:val="en-US" w:eastAsia="zh-CN"/>
        </w:rPr>
        <w:t>XXXX.1</w:t>
      </w:r>
      <w:r>
        <w:rPr>
          <w:rFonts w:hint="eastAsia" w:ascii="Times New Roman"/>
          <w:kern w:val="2"/>
          <w:szCs w:val="21"/>
        </w:rPr>
        <w:t>附录</w:t>
      </w:r>
      <w:r>
        <w:rPr>
          <w:rFonts w:hint="eastAsia" w:ascii="Times New Roman"/>
          <w:kern w:val="2"/>
          <w:szCs w:val="21"/>
          <w:lang w:val="en-US" w:eastAsia="zh-CN"/>
        </w:rPr>
        <w:t xml:space="preserve"> </w:t>
      </w:r>
      <w:r>
        <w:rPr>
          <w:rFonts w:hint="eastAsia" w:ascii="Times New Roman"/>
          <w:kern w:val="2"/>
          <w:szCs w:val="21"/>
        </w:rPr>
        <w:t>D</w:t>
      </w:r>
      <w:r>
        <w:rPr>
          <w:rFonts w:hint="eastAsia" w:ascii="Times New Roman"/>
          <w:kern w:val="2"/>
          <w:szCs w:val="21"/>
          <w:lang w:eastAsia="zh-CN"/>
        </w:rPr>
        <w:t>）</w:t>
      </w:r>
      <w:r>
        <w:rPr>
          <w:rFonts w:hint="eastAsia" w:ascii="Times New Roman"/>
          <w:kern w:val="2"/>
          <w:szCs w:val="21"/>
          <w:lang w:val="en-US" w:eastAsia="zh-CN"/>
        </w:rPr>
        <w:t>进行评价。</w:t>
      </w:r>
    </w:p>
    <w:p w14:paraId="374D9784">
      <w:pPr>
        <w:pStyle w:val="109"/>
        <w:numPr>
          <w:ilvl w:val="1"/>
          <w:numId w:val="37"/>
        </w:numPr>
        <w:spacing w:before="156" w:after="156"/>
        <w:rPr>
          <w:rFonts w:hint="eastAsia"/>
          <w:lang w:val="en-US" w:eastAsia="zh-CN"/>
        </w:rPr>
      </w:pPr>
      <w:r>
        <w:rPr>
          <w:rFonts w:hint="eastAsia"/>
          <w:lang w:val="en-US" w:eastAsia="zh-CN"/>
        </w:rPr>
        <w:t>控制措施</w:t>
      </w:r>
    </w:p>
    <w:p w14:paraId="6C2863D7">
      <w:pPr>
        <w:pStyle w:val="233"/>
        <w:rPr>
          <w:rFonts w:hint="eastAsia" w:eastAsia="宋体"/>
          <w:lang w:val="en-US" w:eastAsia="zh-CN"/>
        </w:rPr>
      </w:pPr>
      <w:r>
        <w:rPr>
          <w:rFonts w:hint="eastAsia"/>
        </w:rPr>
        <w:t>依据风险矩阵分析法（</w:t>
      </w:r>
      <w:r>
        <w:rPr>
          <w:rFonts w:hint="eastAsia" w:ascii="Times New Roman"/>
          <w:kern w:val="2"/>
          <w:szCs w:val="21"/>
        </w:rPr>
        <w:t>LS）</w:t>
      </w:r>
      <w:r>
        <w:rPr>
          <w:rFonts w:hint="eastAsia"/>
        </w:rPr>
        <w:t>对监测活动实施系统性风险评估后，若经量化评定的风险等级超出 E/5 级，即判定为不可接受风险水平。根据风险管理相关规范及要求，需立即针对该活动所识别出的危险源，制定并落实相应控制措施，具体措施如下。</w:t>
      </w:r>
      <w:r>
        <w:rPr>
          <w:rFonts w:hint="eastAsia" w:hAnsi="宋体" w:cs="宋体"/>
          <w:lang w:val="en-US" w:eastAsia="zh-CN"/>
        </w:rPr>
        <w:t>。</w:t>
      </w:r>
    </w:p>
    <w:p w14:paraId="0762ABCD">
      <w:pPr>
        <w:pStyle w:val="109"/>
        <w:numPr>
          <w:ilvl w:val="2"/>
          <w:numId w:val="37"/>
        </w:numPr>
        <w:spacing w:before="156" w:after="156"/>
        <w:ind w:left="0" w:leftChars="0" w:firstLineChars="0"/>
      </w:pPr>
      <w:r>
        <w:rPr>
          <w:rFonts w:hint="eastAsia"/>
          <w:lang w:eastAsia="zh-CN"/>
        </w:rPr>
        <w:t>恶劣天气</w:t>
      </w:r>
    </w:p>
    <w:p w14:paraId="7ED969F8">
      <w:pPr>
        <w:pStyle w:val="169"/>
        <w:numPr>
          <w:ilvl w:val="3"/>
          <w:numId w:val="37"/>
        </w:numPr>
      </w:pPr>
      <w:r>
        <w:rPr>
          <w:rFonts w:hint="eastAsia" w:ascii="宋体" w:hAnsi="宋体" w:eastAsia="宋体" w:cs="宋体"/>
          <w:bCs/>
          <w:lang w:val="en-US" w:eastAsia="zh-CN"/>
        </w:rPr>
        <w:t>进行</w:t>
      </w:r>
      <w:r>
        <w:rPr>
          <w:rFonts w:hint="eastAsia" w:ascii="宋体" w:hAnsi="宋体" w:eastAsia="宋体" w:cs="宋体"/>
          <w:bCs/>
          <w:lang w:eastAsia="zh-CN"/>
        </w:rPr>
        <w:t>监测</w:t>
      </w:r>
      <w:r>
        <w:rPr>
          <w:rFonts w:hint="eastAsia" w:ascii="宋体" w:hAnsi="宋体" w:eastAsia="宋体" w:cs="宋体"/>
          <w:bCs/>
          <w:lang w:val="en-US" w:eastAsia="zh-CN"/>
        </w:rPr>
        <w:t>活动</w:t>
      </w:r>
      <w:r>
        <w:rPr>
          <w:rFonts w:hint="eastAsia" w:ascii="宋体" w:hAnsi="宋体" w:eastAsia="宋体" w:cs="宋体"/>
          <w:bCs/>
          <w:lang w:eastAsia="zh-CN"/>
        </w:rPr>
        <w:t>前，</w:t>
      </w:r>
      <w:r>
        <w:rPr>
          <w:rFonts w:hint="eastAsia" w:hAnsi="宋体" w:cs="宋体"/>
          <w:bCs/>
          <w:lang w:eastAsia="zh-CN"/>
        </w:rPr>
        <w:t>现场</w:t>
      </w:r>
      <w:r>
        <w:rPr>
          <w:rFonts w:hint="eastAsia" w:hAnsi="宋体" w:cs="宋体"/>
          <w:bCs/>
          <w:lang w:val="en-US" w:eastAsia="zh-CN"/>
        </w:rPr>
        <w:t>现场监测人员</w:t>
      </w:r>
      <w:r>
        <w:rPr>
          <w:rFonts w:hint="eastAsia" w:ascii="宋体" w:hAnsi="宋体" w:eastAsia="宋体" w:cs="宋体"/>
          <w:bCs/>
          <w:lang w:eastAsia="zh-CN"/>
        </w:rPr>
        <w:t>必须充分了解当天的气象条件，避免大风、雷电、冰雹等极端天气</w:t>
      </w:r>
      <w:r>
        <w:rPr>
          <w:rFonts w:hint="eastAsia" w:hAnsi="宋体" w:cs="宋体"/>
          <w:bCs/>
          <w:lang w:eastAsia="zh-CN"/>
        </w:rPr>
        <w:t>，</w:t>
      </w:r>
      <w:r>
        <w:rPr>
          <w:rFonts w:hint="eastAsia" w:ascii="宋体" w:hAnsi="宋体" w:eastAsia="宋体" w:cs="宋体"/>
          <w:bCs/>
          <w:lang w:eastAsia="zh-CN"/>
        </w:rPr>
        <w:t>在极端天气下应停止所有监测工作</w:t>
      </w:r>
      <w:r>
        <w:rPr>
          <w:rFonts w:hint="eastAsia"/>
        </w:rPr>
        <w:t>。</w:t>
      </w:r>
    </w:p>
    <w:p w14:paraId="5FF7388D">
      <w:pPr>
        <w:pStyle w:val="169"/>
        <w:numPr>
          <w:ilvl w:val="3"/>
          <w:numId w:val="37"/>
        </w:numPr>
      </w:pPr>
      <w:r>
        <w:rPr>
          <w:rFonts w:hint="eastAsia" w:ascii="宋体" w:hAnsi="宋体" w:eastAsia="宋体" w:cs="宋体"/>
          <w:bCs/>
          <w:lang w:eastAsia="zh-CN"/>
        </w:rPr>
        <w:t>当室外温度过高时，</w:t>
      </w:r>
      <w:r>
        <w:rPr>
          <w:rFonts w:hint="eastAsia" w:hAnsi="宋体" w:cs="宋体"/>
          <w:bCs/>
          <w:lang w:eastAsia="zh-CN"/>
        </w:rPr>
        <w:t>现场监测人员</w:t>
      </w:r>
      <w:r>
        <w:rPr>
          <w:rFonts w:hint="eastAsia" w:ascii="宋体" w:hAnsi="宋体" w:eastAsia="宋体" w:cs="宋体"/>
          <w:bCs/>
          <w:lang w:eastAsia="zh-CN"/>
        </w:rPr>
        <w:t>应尽量避免外出作业</w:t>
      </w:r>
      <w:r>
        <w:rPr>
          <w:rFonts w:hint="eastAsia" w:hAnsi="宋体" w:cs="宋体"/>
          <w:bCs/>
          <w:lang w:eastAsia="zh-CN"/>
        </w:rPr>
        <w:t>。</w:t>
      </w:r>
      <w:r>
        <w:rPr>
          <w:rFonts w:hint="eastAsia" w:ascii="宋体" w:hAnsi="宋体" w:eastAsia="宋体" w:cs="宋体"/>
          <w:bCs/>
          <w:i w:val="0"/>
          <w:iCs w:val="0"/>
          <w:caps w:val="0"/>
          <w:spacing w:val="0"/>
          <w:sz w:val="21"/>
          <w:szCs w:val="20"/>
        </w:rPr>
        <w:t>若需紧急监测</w:t>
      </w:r>
      <w:r>
        <w:rPr>
          <w:rFonts w:hint="eastAsia" w:ascii="宋体" w:hAnsi="宋体" w:eastAsia="宋体" w:cs="宋体"/>
          <w:bCs/>
          <w:lang w:eastAsia="zh-CN"/>
        </w:rPr>
        <w:t>，</w:t>
      </w:r>
      <w:r>
        <w:rPr>
          <w:rFonts w:hint="eastAsia" w:hAnsi="宋体" w:cs="宋体"/>
          <w:bCs/>
          <w:lang w:val="en-US" w:eastAsia="zh-CN"/>
        </w:rPr>
        <w:t>现场监测人员</w:t>
      </w:r>
      <w:r>
        <w:rPr>
          <w:rFonts w:hint="eastAsia" w:ascii="宋体" w:hAnsi="宋体" w:eastAsia="宋体" w:cs="宋体"/>
          <w:bCs/>
          <w:lang w:eastAsia="zh-CN"/>
        </w:rPr>
        <w:t>应选择在</w:t>
      </w:r>
      <w:r>
        <w:rPr>
          <w:rFonts w:hint="eastAsia" w:hAnsi="宋体" w:cs="宋体"/>
          <w:bCs/>
          <w:lang w:val="en-US" w:eastAsia="zh-CN"/>
        </w:rPr>
        <w:t>全天</w:t>
      </w:r>
      <w:r>
        <w:rPr>
          <w:rFonts w:hint="eastAsia" w:ascii="宋体" w:hAnsi="宋体" w:eastAsia="宋体" w:cs="宋体"/>
          <w:bCs/>
          <w:lang w:eastAsia="zh-CN"/>
        </w:rPr>
        <w:t>气温较低的时</w:t>
      </w:r>
      <w:r>
        <w:rPr>
          <w:rFonts w:hint="eastAsia" w:hAnsi="宋体" w:cs="宋体"/>
          <w:bCs/>
          <w:lang w:val="en-US" w:eastAsia="zh-CN"/>
        </w:rPr>
        <w:t>段作业</w:t>
      </w:r>
      <w:r>
        <w:rPr>
          <w:rFonts w:hint="eastAsia"/>
        </w:rPr>
        <w:t>。</w:t>
      </w:r>
    </w:p>
    <w:p w14:paraId="371EF002">
      <w:pPr>
        <w:pStyle w:val="169"/>
        <w:numPr>
          <w:ilvl w:val="3"/>
          <w:numId w:val="37"/>
        </w:numPr>
      </w:pPr>
      <w:r>
        <w:rPr>
          <w:rFonts w:hint="eastAsia" w:ascii="宋体" w:hAnsi="宋体" w:eastAsia="宋体" w:cs="宋体"/>
          <w:bCs/>
          <w:lang w:eastAsia="zh-CN"/>
        </w:rPr>
        <w:t>在户外高温作业时，</w:t>
      </w:r>
      <w:r>
        <w:rPr>
          <w:rFonts w:hint="eastAsia" w:hAnsi="宋体" w:cs="宋体"/>
          <w:bCs/>
          <w:lang w:eastAsia="zh-CN"/>
        </w:rPr>
        <w:t>现场监测人员</w:t>
      </w:r>
      <w:r>
        <w:rPr>
          <w:rFonts w:hint="eastAsia" w:ascii="宋体" w:hAnsi="宋体" w:eastAsia="宋体" w:cs="宋体"/>
          <w:bCs/>
          <w:lang w:eastAsia="zh-CN"/>
        </w:rPr>
        <w:t>应配备高温防护装备，并携带消暑饮品，以防中暑和晒伤</w:t>
      </w:r>
      <w:r>
        <w:rPr>
          <w:rFonts w:hint="eastAsia"/>
        </w:rPr>
        <w:t>。</w:t>
      </w:r>
    </w:p>
    <w:p w14:paraId="1DB4F4C0">
      <w:pPr>
        <w:pStyle w:val="169"/>
        <w:numPr>
          <w:ilvl w:val="3"/>
          <w:numId w:val="37"/>
        </w:numPr>
      </w:pPr>
      <w:r>
        <w:rPr>
          <w:rFonts w:hint="eastAsia" w:ascii="宋体" w:hAnsi="宋体" w:eastAsia="宋体" w:cs="宋体"/>
          <w:bCs/>
          <w:lang w:eastAsia="zh-CN"/>
        </w:rPr>
        <w:t>在雨雪天，</w:t>
      </w:r>
      <w:r>
        <w:rPr>
          <w:rFonts w:hint="eastAsia" w:hAnsi="宋体" w:cs="宋体"/>
          <w:bCs/>
          <w:lang w:eastAsia="zh-CN"/>
        </w:rPr>
        <w:t>现场监测人员</w:t>
      </w:r>
      <w:r>
        <w:rPr>
          <w:rFonts w:hint="eastAsia" w:ascii="宋体" w:hAnsi="宋体" w:eastAsia="宋体" w:cs="宋体"/>
          <w:bCs/>
          <w:lang w:eastAsia="zh-CN"/>
        </w:rPr>
        <w:t>应避免在露天使用带电设备，并停止所有高空作业</w:t>
      </w:r>
      <w:r>
        <w:rPr>
          <w:rFonts w:hint="eastAsia"/>
        </w:rPr>
        <w:t>。</w:t>
      </w:r>
    </w:p>
    <w:p w14:paraId="74D62327">
      <w:pPr>
        <w:pStyle w:val="169"/>
        <w:numPr>
          <w:ilvl w:val="3"/>
          <w:numId w:val="37"/>
        </w:numPr>
      </w:pPr>
      <w:r>
        <w:rPr>
          <w:rFonts w:hint="eastAsia"/>
          <w:lang w:eastAsia="zh-CN"/>
        </w:rPr>
        <w:t>在</w:t>
      </w:r>
      <w:r>
        <w:rPr>
          <w:rFonts w:hint="eastAsia" w:ascii="宋体" w:hAnsi="宋体" w:eastAsia="宋体" w:cs="宋体"/>
          <w:bCs/>
        </w:rPr>
        <w:t>雨雪天，</w:t>
      </w:r>
      <w:r>
        <w:rPr>
          <w:rFonts w:hint="eastAsia" w:hAnsi="宋体" w:cs="宋体"/>
          <w:bCs/>
          <w:lang w:eastAsia="zh-CN"/>
        </w:rPr>
        <w:t>现场监测人员</w:t>
      </w:r>
      <w:r>
        <w:rPr>
          <w:rFonts w:hint="eastAsia" w:ascii="宋体" w:hAnsi="宋体" w:eastAsia="宋体" w:cs="宋体"/>
          <w:bCs/>
        </w:rPr>
        <w:t>必须装备防滑</w:t>
      </w:r>
      <w:r>
        <w:rPr>
          <w:rFonts w:hint="eastAsia" w:hAnsi="宋体" w:cs="宋体"/>
          <w:bCs/>
          <w:lang w:val="en-US" w:eastAsia="zh-CN"/>
        </w:rPr>
        <w:t>和</w:t>
      </w:r>
      <w:r>
        <w:rPr>
          <w:rFonts w:hint="eastAsia" w:ascii="宋体" w:hAnsi="宋体" w:eastAsia="宋体" w:cs="宋体"/>
          <w:bCs/>
        </w:rPr>
        <w:t>防寒装备</w:t>
      </w:r>
      <w:r>
        <w:rPr>
          <w:rFonts w:hint="eastAsia" w:hAnsi="宋体" w:cs="宋体"/>
          <w:bCs/>
          <w:lang w:eastAsia="zh-CN"/>
        </w:rPr>
        <w:t>。</w:t>
      </w:r>
    </w:p>
    <w:p w14:paraId="1BBF3A1A">
      <w:pPr>
        <w:pStyle w:val="169"/>
        <w:numPr>
          <w:ilvl w:val="3"/>
          <w:numId w:val="37"/>
        </w:numPr>
        <w:rPr>
          <w:rFonts w:hint="eastAsia" w:hAnsi="宋体" w:cs="宋体"/>
          <w:bCs/>
        </w:rPr>
      </w:pPr>
      <w:r>
        <w:rPr>
          <w:rFonts w:hint="eastAsia" w:ascii="宋体" w:hAnsi="宋体" w:eastAsia="宋体" w:cs="宋体"/>
          <w:bCs/>
          <w:i w:val="0"/>
          <w:iCs w:val="0"/>
          <w:caps w:val="0"/>
          <w:spacing w:val="0"/>
          <w:sz w:val="21"/>
          <w:szCs w:val="20"/>
        </w:rPr>
        <w:t>遇大雾、强沙尘等低能见度天气，应暂停户外采样作业，若需紧急监测，需配备反光警示灯。</w:t>
      </w:r>
    </w:p>
    <w:p w14:paraId="486BF463">
      <w:pPr>
        <w:pStyle w:val="169"/>
        <w:numPr>
          <w:ilvl w:val="3"/>
          <w:numId w:val="37"/>
        </w:numPr>
        <w:rPr>
          <w:rFonts w:hint="eastAsia" w:hAnsi="宋体" w:cs="宋体"/>
          <w:bCs/>
        </w:rPr>
      </w:pPr>
      <w:r>
        <w:rPr>
          <w:rFonts w:hint="eastAsia" w:hAnsi="宋体" w:cs="宋体"/>
          <w:bCs/>
        </w:rPr>
        <w:t>在雷电天气时，禁止在空旷地带、大树下或金属结构附近作业，监测设备需远离导电物体，避免雷击风险。</w:t>
      </w:r>
    </w:p>
    <w:p w14:paraId="7ECD3714">
      <w:pPr>
        <w:pStyle w:val="109"/>
        <w:numPr>
          <w:ilvl w:val="2"/>
          <w:numId w:val="37"/>
        </w:numPr>
        <w:spacing w:before="156" w:after="156"/>
        <w:ind w:left="0" w:leftChars="0" w:firstLineChars="0"/>
      </w:pPr>
      <w:r>
        <w:rPr>
          <w:rFonts w:hint="eastAsia" w:hAnsi="宋体" w:cs="宋体"/>
          <w:kern w:val="0"/>
          <w:szCs w:val="21"/>
          <w:lang w:val="en-US" w:eastAsia="zh-CN"/>
        </w:rPr>
        <w:t>有毒有害化学试剂</w:t>
      </w:r>
    </w:p>
    <w:p w14:paraId="29A88214">
      <w:pPr>
        <w:pStyle w:val="169"/>
        <w:numPr>
          <w:ilvl w:val="3"/>
          <w:numId w:val="37"/>
        </w:numPr>
        <w:rPr>
          <w:rFonts w:hint="eastAsia" w:hAnsi="宋体" w:cs="宋体"/>
          <w:bCs/>
        </w:rPr>
      </w:pPr>
      <w:r>
        <w:rPr>
          <w:rFonts w:hint="eastAsia" w:ascii="宋体" w:hAnsi="宋体" w:eastAsia="宋体" w:cs="宋体"/>
          <w:bCs/>
          <w:i w:val="0"/>
          <w:iCs w:val="0"/>
          <w:caps w:val="0"/>
          <w:spacing w:val="0"/>
          <w:sz w:val="21"/>
          <w:szCs w:val="20"/>
        </w:rPr>
        <w:t>有毒有害化学试剂应使用专用</w:t>
      </w:r>
      <w:r>
        <w:rPr>
          <w:rFonts w:hint="eastAsia" w:hAnsi="宋体" w:cs="宋体"/>
          <w:bCs/>
          <w:i w:val="0"/>
          <w:iCs w:val="0"/>
          <w:caps w:val="0"/>
          <w:spacing w:val="0"/>
          <w:sz w:val="21"/>
          <w:szCs w:val="20"/>
          <w:lang w:val="en-US" w:eastAsia="zh-CN"/>
        </w:rPr>
        <w:t>试剂</w:t>
      </w:r>
      <w:r>
        <w:rPr>
          <w:rFonts w:hint="eastAsia" w:ascii="宋体" w:hAnsi="宋体" w:eastAsia="宋体" w:cs="宋体"/>
          <w:bCs/>
          <w:i w:val="0"/>
          <w:iCs w:val="0"/>
          <w:caps w:val="0"/>
          <w:spacing w:val="0"/>
          <w:sz w:val="21"/>
          <w:szCs w:val="20"/>
        </w:rPr>
        <w:t>箱运输，箱内需分隔存放，避免强酸、强碱等性质冲突的试剂直接接触。</w:t>
      </w:r>
    </w:p>
    <w:p w14:paraId="21481E10">
      <w:pPr>
        <w:pStyle w:val="169"/>
        <w:numPr>
          <w:ilvl w:val="3"/>
          <w:numId w:val="37"/>
        </w:numPr>
        <w:rPr>
          <w:rFonts w:hint="eastAsia" w:hAnsi="宋体" w:cs="宋体"/>
          <w:bCs/>
        </w:rPr>
      </w:pPr>
      <w:r>
        <w:rPr>
          <w:rFonts w:hint="eastAsia" w:ascii="宋体" w:hAnsi="宋体" w:eastAsia="宋体" w:cs="宋体"/>
          <w:bCs/>
          <w:i w:val="0"/>
          <w:iCs w:val="0"/>
          <w:caps w:val="0"/>
          <w:spacing w:val="0"/>
          <w:sz w:val="21"/>
          <w:szCs w:val="20"/>
        </w:rPr>
        <w:t>运输过程中需固定试剂容器，防止倾倒或碰撞，运输车辆应配备灭火器材及泄漏应急处理包（如吸附棉、中和剂）。</w:t>
      </w:r>
    </w:p>
    <w:p w14:paraId="45F41EC7">
      <w:pPr>
        <w:pStyle w:val="169"/>
        <w:numPr>
          <w:ilvl w:val="3"/>
          <w:numId w:val="37"/>
        </w:numPr>
        <w:rPr>
          <w:rFonts w:hint="eastAsia" w:ascii="宋体" w:hAnsi="宋体" w:cs="宋体"/>
          <w:bCs/>
          <w:szCs w:val="20"/>
        </w:rPr>
      </w:pPr>
      <w:r>
        <w:rPr>
          <w:rFonts w:hint="eastAsia" w:ascii="宋体" w:hAnsi="宋体" w:cs="宋体"/>
          <w:bCs/>
          <w:szCs w:val="20"/>
        </w:rPr>
        <w:t>操作前需确认试剂 MSDS（化学品安全技术说明书）中的危险性信息，穿戴相应防护装备（如</w:t>
      </w:r>
      <w:r>
        <w:rPr>
          <w:rFonts w:hint="eastAsia" w:ascii="宋体" w:hAnsi="宋体" w:cs="宋体"/>
          <w:bCs/>
          <w:szCs w:val="20"/>
          <w:lang w:val="en-US" w:eastAsia="zh-CN"/>
        </w:rPr>
        <w:t>橡胶</w:t>
      </w:r>
      <w:r>
        <w:rPr>
          <w:rFonts w:hint="eastAsia" w:ascii="宋体" w:hAnsi="宋体" w:cs="宋体"/>
          <w:bCs/>
          <w:szCs w:val="20"/>
        </w:rPr>
        <w:t>手套、护目镜</w:t>
      </w:r>
      <w:r>
        <w:rPr>
          <w:rFonts w:hint="eastAsia" w:ascii="宋体" w:hAnsi="宋体" w:cs="宋体"/>
          <w:bCs/>
          <w:szCs w:val="20"/>
          <w:lang w:val="en-US" w:eastAsia="zh-CN"/>
        </w:rPr>
        <w:t>等</w:t>
      </w:r>
      <w:r>
        <w:rPr>
          <w:rFonts w:hint="eastAsia" w:ascii="宋体" w:hAnsi="宋体" w:cs="宋体"/>
          <w:bCs/>
          <w:szCs w:val="20"/>
        </w:rPr>
        <w:t>）</w:t>
      </w:r>
      <w:r>
        <w:rPr>
          <w:rFonts w:hint="eastAsia" w:hAnsi="宋体" w:cs="宋体"/>
          <w:bCs/>
          <w:szCs w:val="20"/>
          <w:lang w:eastAsia="zh-CN"/>
        </w:rPr>
        <w:t>。</w:t>
      </w:r>
    </w:p>
    <w:p w14:paraId="3AFDFC7E">
      <w:pPr>
        <w:pStyle w:val="109"/>
        <w:numPr>
          <w:ilvl w:val="2"/>
          <w:numId w:val="37"/>
        </w:numPr>
        <w:spacing w:before="156" w:after="156"/>
        <w:ind w:left="0" w:leftChars="0" w:firstLineChars="0"/>
      </w:pPr>
      <w:r>
        <w:rPr>
          <w:rFonts w:hint="eastAsia"/>
          <w:lang w:eastAsia="zh-CN"/>
        </w:rPr>
        <w:t>溺水</w:t>
      </w:r>
    </w:p>
    <w:p w14:paraId="2E008EB9">
      <w:pPr>
        <w:pStyle w:val="169"/>
        <w:numPr>
          <w:ilvl w:val="3"/>
          <w:numId w:val="37"/>
        </w:numPr>
        <w:rPr>
          <w:rFonts w:hint="eastAsia" w:ascii="Times New Roman" w:hAnsi="Times New Roman"/>
          <w:szCs w:val="21"/>
        </w:rPr>
      </w:pPr>
      <w:r>
        <w:rPr>
          <w:rFonts w:hint="eastAsia" w:ascii="Times New Roman" w:hAnsi="Times New Roman"/>
          <w:szCs w:val="21"/>
          <w:lang w:eastAsia="zh-CN"/>
        </w:rPr>
        <w:t>现场监测人员</w:t>
      </w:r>
      <w:r>
        <w:rPr>
          <w:rFonts w:hint="eastAsia" w:ascii="Times New Roman" w:hAnsi="Times New Roman" w:eastAsia="宋体" w:cs="Times New Roman"/>
          <w:bCs w:val="0"/>
          <w:szCs w:val="21"/>
          <w:lang w:eastAsia="zh-CN"/>
        </w:rPr>
        <w:t>在水深超过一米的江河或湖库进行水样采集时，必须穿戴救生衣</w:t>
      </w:r>
      <w:r>
        <w:rPr>
          <w:rFonts w:hint="eastAsia" w:ascii="Times New Roman" w:hAnsi="Times New Roman" w:cs="Times New Roman"/>
          <w:bCs w:val="0"/>
          <w:szCs w:val="21"/>
          <w:lang w:eastAsia="zh-CN"/>
        </w:rPr>
        <w:t>。</w:t>
      </w:r>
    </w:p>
    <w:p w14:paraId="7584D061">
      <w:pPr>
        <w:pStyle w:val="169"/>
        <w:numPr>
          <w:ilvl w:val="3"/>
          <w:numId w:val="37"/>
        </w:numPr>
        <w:rPr>
          <w:rFonts w:hint="eastAsia" w:ascii="Times New Roman" w:hAnsi="Times New Roman"/>
          <w:szCs w:val="21"/>
        </w:rPr>
      </w:pPr>
      <w:r>
        <w:rPr>
          <w:rFonts w:hint="eastAsia" w:ascii="Times New Roman" w:hAnsi="Times New Roman" w:cs="Times New Roman"/>
          <w:bCs w:val="0"/>
          <w:szCs w:val="21"/>
          <w:lang w:eastAsia="zh-CN"/>
        </w:rPr>
        <w:t>现场监测人员</w:t>
      </w:r>
      <w:r>
        <w:rPr>
          <w:rFonts w:hint="eastAsia" w:ascii="Times New Roman" w:hAnsi="Times New Roman" w:eastAsia="宋体" w:cs="Times New Roman"/>
          <w:bCs w:val="0"/>
          <w:szCs w:val="21"/>
        </w:rPr>
        <w:t>在选择船只时，应考虑采样时间和风浪等级，确保船只安全，并配备救生衣及通讯设备</w:t>
      </w:r>
      <w:r>
        <w:rPr>
          <w:rFonts w:hint="eastAsia" w:ascii="Times New Roman" w:hAnsi="Times New Roman"/>
          <w:szCs w:val="21"/>
        </w:rPr>
        <w:t>。</w:t>
      </w:r>
    </w:p>
    <w:p w14:paraId="3816D78E">
      <w:pPr>
        <w:pStyle w:val="169"/>
        <w:numPr>
          <w:ilvl w:val="3"/>
          <w:numId w:val="37"/>
        </w:numPr>
        <w:rPr>
          <w:rFonts w:hint="eastAsia" w:ascii="Times New Roman" w:hAnsi="Times New Roman"/>
          <w:szCs w:val="21"/>
        </w:rPr>
      </w:pPr>
      <w:r>
        <w:rPr>
          <w:rFonts w:hint="eastAsia" w:ascii="Times New Roman"/>
          <w:szCs w:val="21"/>
        </w:rPr>
        <w:t>涉水采样前需探测水深及河床稳定性，若水深超过 1.5 米或存在淤泥层，需使用长柄采样器或无人</w:t>
      </w:r>
      <w:r>
        <w:rPr>
          <w:rFonts w:hint="eastAsia" w:ascii="Times New Roman" w:hAnsi="Times New Roman"/>
          <w:szCs w:val="21"/>
          <w:lang w:val="en-US" w:eastAsia="zh-CN"/>
        </w:rPr>
        <w:t>船</w:t>
      </w:r>
      <w:r>
        <w:rPr>
          <w:rFonts w:hint="eastAsia" w:ascii="Times New Roman"/>
          <w:szCs w:val="21"/>
        </w:rPr>
        <w:t>采样，避免人员直接下水。</w:t>
      </w:r>
    </w:p>
    <w:p w14:paraId="5E337B55">
      <w:pPr>
        <w:pStyle w:val="169"/>
        <w:numPr>
          <w:ilvl w:val="3"/>
          <w:numId w:val="37"/>
        </w:numPr>
        <w:rPr>
          <w:rFonts w:hint="eastAsia" w:ascii="Times New Roman" w:hAnsi="Times New Roman"/>
          <w:szCs w:val="21"/>
        </w:rPr>
      </w:pPr>
      <w:r>
        <w:rPr>
          <w:rFonts w:hint="eastAsia" w:ascii="Times New Roman" w:hAnsi="Times New Roman" w:cs="Times New Roman"/>
          <w:bCs w:val="0"/>
          <w:szCs w:val="21"/>
          <w:lang w:val="en-US" w:eastAsia="zh-CN"/>
        </w:rPr>
        <w:t>现场监测人员</w:t>
      </w:r>
      <w:r>
        <w:rPr>
          <w:rFonts w:hint="eastAsia" w:ascii="Times New Roman" w:hAnsi="Times New Roman" w:eastAsia="宋体" w:cs="Times New Roman"/>
          <w:bCs w:val="0"/>
          <w:szCs w:val="21"/>
        </w:rPr>
        <w:t>在甲板上作业时，至少需要两人共同操作，</w:t>
      </w:r>
      <w:r>
        <w:rPr>
          <w:rFonts w:hint="eastAsia" w:ascii="Times New Roman" w:hAnsi="Times New Roman" w:cs="Times New Roman"/>
          <w:bCs w:val="0"/>
          <w:szCs w:val="21"/>
          <w:lang w:val="en-US" w:eastAsia="zh-CN"/>
        </w:rPr>
        <w:t>并系好安全绳</w:t>
      </w:r>
      <w:r>
        <w:rPr>
          <w:rFonts w:hint="eastAsia" w:ascii="Times New Roman" w:hAnsi="Times New Roman"/>
          <w:szCs w:val="21"/>
        </w:rPr>
        <w:t>。</w:t>
      </w:r>
    </w:p>
    <w:p w14:paraId="543A9449">
      <w:pPr>
        <w:pStyle w:val="169"/>
        <w:numPr>
          <w:ilvl w:val="3"/>
          <w:numId w:val="37"/>
        </w:numPr>
        <w:rPr>
          <w:rFonts w:hint="eastAsia" w:ascii="Times New Roman" w:hAnsi="Times New Roman"/>
          <w:szCs w:val="21"/>
        </w:rPr>
      </w:pPr>
      <w:r>
        <w:rPr>
          <w:rFonts w:hint="eastAsia" w:ascii="Times New Roman" w:hAnsi="Times New Roman" w:cs="Times New Roman"/>
          <w:bCs w:val="0"/>
          <w:szCs w:val="21"/>
          <w:lang w:val="en-US" w:eastAsia="zh-CN"/>
        </w:rPr>
        <w:t>现场监测人员</w:t>
      </w:r>
      <w:r>
        <w:rPr>
          <w:rFonts w:hint="eastAsia" w:ascii="Times New Roman" w:hAnsi="Times New Roman" w:eastAsia="宋体" w:cs="Times New Roman"/>
          <w:bCs w:val="0"/>
          <w:szCs w:val="21"/>
        </w:rPr>
        <w:t>在船上作业时，应注意周围的船只，避免因大型船只经过而产生的颠簸，导致人员失足落水</w:t>
      </w:r>
      <w:r>
        <w:rPr>
          <w:rFonts w:hint="eastAsia" w:ascii="Times New Roman" w:hAnsi="Times New Roman"/>
          <w:szCs w:val="21"/>
        </w:rPr>
        <w:t>。</w:t>
      </w:r>
    </w:p>
    <w:p w14:paraId="21E5E946">
      <w:pPr>
        <w:pStyle w:val="109"/>
        <w:numPr>
          <w:ilvl w:val="2"/>
          <w:numId w:val="37"/>
        </w:numPr>
        <w:spacing w:before="156" w:after="156"/>
        <w:ind w:left="0" w:leftChars="0" w:firstLineChars="0"/>
        <w:rPr>
          <w:rFonts w:eastAsiaTheme="minorEastAsia"/>
        </w:rPr>
      </w:pPr>
      <w:r>
        <w:rPr>
          <w:rFonts w:hint="eastAsia"/>
        </w:rPr>
        <w:t>高空坠落</w:t>
      </w:r>
      <w:r>
        <w:rPr>
          <w:rFonts w:hint="eastAsia"/>
          <w:lang w:val="en-US" w:eastAsia="zh-CN"/>
        </w:rPr>
        <w:tab/>
      </w:r>
    </w:p>
    <w:p w14:paraId="67DD05D9">
      <w:pPr>
        <w:pStyle w:val="169"/>
        <w:numPr>
          <w:ilvl w:val="3"/>
          <w:numId w:val="37"/>
        </w:numPr>
        <w:rPr>
          <w:rFonts w:hAnsi="宋体"/>
        </w:rPr>
      </w:pPr>
      <w:r>
        <w:rPr>
          <w:rFonts w:hint="eastAsia" w:hAnsi="宋体" w:cs="宋体"/>
          <w:bCs/>
          <w:lang w:val="en-US" w:eastAsia="zh-CN"/>
        </w:rPr>
        <w:t>现场监测人员</w:t>
      </w:r>
      <w:r>
        <w:rPr>
          <w:rFonts w:hint="eastAsia" w:ascii="宋体" w:hAnsi="宋体" w:eastAsia="宋体" w:cs="宋体"/>
          <w:bCs/>
        </w:rPr>
        <w:t>在</w:t>
      </w:r>
      <w:r>
        <w:rPr>
          <w:rFonts w:hint="eastAsia" w:ascii="宋体" w:hAnsi="宋体" w:eastAsia="宋体" w:cs="宋体"/>
          <w:bCs/>
          <w:lang w:val="en-US" w:eastAsia="zh-CN"/>
        </w:rPr>
        <w:t>两</w:t>
      </w:r>
      <w:r>
        <w:rPr>
          <w:rFonts w:hint="eastAsia" w:ascii="宋体" w:hAnsi="宋体" w:eastAsia="宋体" w:cs="宋体"/>
          <w:bCs/>
        </w:rPr>
        <w:t>米以上高度位置作业时，应穿戴安全帽与安全带并扣好保险钩，将其系至牢固部分，不得随身携带物品进行攀登</w:t>
      </w:r>
      <w:r>
        <w:rPr>
          <w:rFonts w:hint="eastAsia" w:ascii="宋体" w:hAnsi="宋体" w:eastAsia="宋体" w:cs="宋体"/>
          <w:bCs/>
          <w:lang w:eastAsia="zh-CN"/>
        </w:rPr>
        <w:t>。</w:t>
      </w:r>
      <w:r>
        <w:rPr>
          <w:rFonts w:hint="eastAsia" w:ascii="宋体" w:hAnsi="宋体" w:eastAsia="宋体" w:cs="宋体"/>
          <w:bCs/>
          <w:lang w:val="en-US" w:eastAsia="zh-CN"/>
        </w:rPr>
        <w:t>监测现场没有</w:t>
      </w:r>
      <w:r>
        <w:rPr>
          <w:rFonts w:hint="eastAsia" w:ascii="宋体" w:hAnsi="宋体" w:eastAsia="宋体" w:cs="宋体"/>
          <w:bCs/>
        </w:rPr>
        <w:t>可靠的安全设施应架设安全网</w:t>
      </w:r>
      <w:r>
        <w:rPr>
          <w:rFonts w:hint="eastAsia" w:hAnsi="宋体"/>
        </w:rPr>
        <w:t>。</w:t>
      </w:r>
    </w:p>
    <w:p w14:paraId="666420E2">
      <w:pPr>
        <w:pStyle w:val="169"/>
        <w:numPr>
          <w:ilvl w:val="3"/>
          <w:numId w:val="37"/>
        </w:numPr>
        <w:rPr>
          <w:rFonts w:hAnsi="宋体"/>
        </w:rPr>
      </w:pPr>
      <w:r>
        <w:rPr>
          <w:rFonts w:hint="eastAsia" w:ascii="宋体" w:hAnsi="宋体" w:eastAsia="宋体" w:cs="宋体"/>
          <w:bCs/>
        </w:rPr>
        <w:t>在高空平台作业</w:t>
      </w:r>
      <w:r>
        <w:rPr>
          <w:rFonts w:hint="eastAsia" w:ascii="宋体" w:hAnsi="宋体" w:eastAsia="宋体" w:cs="宋体"/>
          <w:bCs/>
          <w:lang w:eastAsia="zh-CN"/>
        </w:rPr>
        <w:t>，</w:t>
      </w:r>
      <w:r>
        <w:rPr>
          <w:rFonts w:hint="eastAsia" w:hAnsi="宋体" w:cs="宋体"/>
          <w:bCs/>
          <w:lang w:val="en-US" w:eastAsia="zh-CN"/>
        </w:rPr>
        <w:t>现场监测人员</w:t>
      </w:r>
      <w:r>
        <w:rPr>
          <w:rFonts w:hint="eastAsia" w:ascii="宋体" w:hAnsi="宋体" w:eastAsia="宋体" w:cs="宋体"/>
          <w:bCs/>
          <w:lang w:val="en-US" w:eastAsia="zh-CN"/>
        </w:rPr>
        <w:t>应</w:t>
      </w:r>
      <w:r>
        <w:rPr>
          <w:rFonts w:hint="eastAsia" w:ascii="宋体" w:hAnsi="宋体" w:eastAsia="宋体" w:cs="宋体"/>
          <w:bCs/>
        </w:rPr>
        <w:t>了解作业平台的高度，平台四周是否有安全围栏、攀登扶梯</w:t>
      </w:r>
      <w:r>
        <w:rPr>
          <w:rFonts w:hint="eastAsia" w:ascii="宋体" w:hAnsi="宋体" w:eastAsia="宋体" w:cs="宋体"/>
          <w:bCs/>
          <w:lang w:eastAsia="zh-CN"/>
        </w:rPr>
        <w:t>。</w:t>
      </w:r>
      <w:r>
        <w:rPr>
          <w:rFonts w:hint="eastAsia" w:ascii="宋体" w:hAnsi="宋体" w:eastAsia="宋体" w:cs="宋体"/>
          <w:bCs/>
        </w:rPr>
        <w:t>在有斜面的建筑结构层面上，</w:t>
      </w:r>
      <w:r>
        <w:rPr>
          <w:rFonts w:hint="eastAsia" w:hAnsi="宋体" w:cs="宋体"/>
          <w:bCs/>
          <w:lang w:val="en-US" w:eastAsia="zh-CN"/>
        </w:rPr>
        <w:t>现场监测人员</w:t>
      </w:r>
      <w:r>
        <w:rPr>
          <w:rFonts w:hint="eastAsia" w:ascii="宋体" w:hAnsi="宋体" w:eastAsia="宋体" w:cs="宋体"/>
          <w:bCs/>
        </w:rPr>
        <w:t>应</w:t>
      </w:r>
      <w:r>
        <w:rPr>
          <w:rFonts w:hint="eastAsia" w:ascii="宋体" w:hAnsi="宋体" w:eastAsia="宋体" w:cs="宋体"/>
          <w:bCs/>
          <w:lang w:val="en-US" w:eastAsia="zh-CN"/>
        </w:rPr>
        <w:t>准备</w:t>
      </w:r>
      <w:r>
        <w:rPr>
          <w:rFonts w:hint="eastAsia" w:ascii="宋体" w:hAnsi="宋体" w:eastAsia="宋体" w:cs="宋体"/>
          <w:bCs/>
        </w:rPr>
        <w:t>防滑措施</w:t>
      </w:r>
      <w:r>
        <w:rPr>
          <w:rFonts w:hint="eastAsia" w:hAnsi="宋体"/>
        </w:rPr>
        <w:t>。</w:t>
      </w:r>
    </w:p>
    <w:p w14:paraId="078EC59B">
      <w:pPr>
        <w:pStyle w:val="169"/>
        <w:numPr>
          <w:ilvl w:val="3"/>
          <w:numId w:val="37"/>
        </w:numPr>
        <w:rPr>
          <w:rFonts w:hAnsi="宋体"/>
        </w:rPr>
      </w:pPr>
      <w:r>
        <w:rPr>
          <w:rFonts w:hint="eastAsia" w:hAnsi="宋体"/>
        </w:rPr>
        <w:t>在高空作业时，现场监测人员接听电话期间禁止走动。建议配备对讲机等免手持通讯设备，方便作业过程中的沟通。若必须使用手机，应在作业暂停、身体处于安全固定状态时进行操作，并尽量缩短通话时间。</w:t>
      </w:r>
    </w:p>
    <w:p w14:paraId="67CA4CAA">
      <w:pPr>
        <w:pStyle w:val="169"/>
        <w:numPr>
          <w:ilvl w:val="3"/>
          <w:numId w:val="37"/>
        </w:numPr>
        <w:rPr>
          <w:rFonts w:hAnsi="宋体"/>
        </w:rPr>
      </w:pPr>
      <w:r>
        <w:rPr>
          <w:rFonts w:hint="eastAsia" w:hAnsi="宋体" w:cs="宋体"/>
          <w:bCs/>
          <w:lang w:eastAsia="zh-CN"/>
        </w:rPr>
        <w:t>从</w:t>
      </w:r>
      <w:r>
        <w:rPr>
          <w:rFonts w:hint="eastAsia" w:ascii="宋体" w:hAnsi="宋体" w:eastAsia="宋体" w:cs="宋体"/>
          <w:bCs/>
        </w:rPr>
        <w:t>事高空作业人员</w:t>
      </w:r>
      <w:r>
        <w:rPr>
          <w:rFonts w:hint="eastAsia" w:ascii="宋体" w:hAnsi="宋体" w:eastAsia="宋体" w:cs="宋体"/>
          <w:bCs/>
          <w:lang w:val="en-US" w:eastAsia="zh-CN"/>
        </w:rPr>
        <w:t>应</w:t>
      </w:r>
      <w:r>
        <w:rPr>
          <w:rFonts w:hint="eastAsia" w:ascii="宋体" w:hAnsi="宋体" w:eastAsia="宋体" w:cs="宋体"/>
          <w:bCs/>
        </w:rPr>
        <w:t>定期进行身体检查，凡患有严重心脏病</w:t>
      </w:r>
      <w:r>
        <w:rPr>
          <w:rFonts w:hint="eastAsia" w:ascii="宋体" w:hAnsi="宋体" w:eastAsia="宋体" w:cs="宋体"/>
          <w:bCs/>
          <w:lang w:val="en-US" w:eastAsia="zh-CN"/>
        </w:rPr>
        <w:t>、</w:t>
      </w:r>
      <w:r>
        <w:rPr>
          <w:rFonts w:hint="eastAsia" w:ascii="宋体" w:hAnsi="宋体" w:eastAsia="宋体" w:cs="宋体"/>
          <w:bCs/>
        </w:rPr>
        <w:t>高血压、贫血症</w:t>
      </w:r>
      <w:r>
        <w:rPr>
          <w:rFonts w:hint="eastAsia" w:ascii="宋体" w:hAnsi="宋体" w:eastAsia="宋体" w:cs="宋体"/>
          <w:bCs/>
          <w:lang w:val="en-US" w:eastAsia="zh-CN"/>
        </w:rPr>
        <w:t>等病症</w:t>
      </w:r>
      <w:r>
        <w:rPr>
          <w:rFonts w:hint="eastAsia" w:ascii="宋体" w:hAnsi="宋体" w:eastAsia="宋体" w:cs="宋体"/>
          <w:bCs/>
        </w:rPr>
        <w:t>的</w:t>
      </w:r>
      <w:r>
        <w:rPr>
          <w:rFonts w:hint="eastAsia" w:hAnsi="宋体" w:cs="宋体"/>
          <w:bCs/>
          <w:lang w:val="en-US" w:eastAsia="zh-CN"/>
        </w:rPr>
        <w:t>现场监测人员</w:t>
      </w:r>
      <w:r>
        <w:rPr>
          <w:rFonts w:hint="eastAsia" w:ascii="宋体" w:hAnsi="宋体" w:eastAsia="宋体" w:cs="宋体"/>
          <w:bCs/>
        </w:rPr>
        <w:t>，不得从事高空作业。</w:t>
      </w:r>
    </w:p>
    <w:p w14:paraId="74E7FBFD">
      <w:pPr>
        <w:pStyle w:val="169"/>
        <w:numPr>
          <w:ilvl w:val="3"/>
          <w:numId w:val="37"/>
        </w:numPr>
        <w:rPr>
          <w:rFonts w:hAnsi="宋体"/>
        </w:rPr>
      </w:pPr>
      <w:r>
        <w:rPr>
          <w:rFonts w:hint="eastAsia" w:hAnsi="宋体" w:cs="宋体"/>
          <w:bCs/>
          <w:lang w:eastAsia="zh-CN"/>
        </w:rPr>
        <w:t>现场监测人员</w:t>
      </w:r>
      <w:r>
        <w:rPr>
          <w:rFonts w:hint="eastAsia" w:ascii="宋体" w:hAnsi="宋体" w:eastAsia="宋体" w:cs="宋体"/>
          <w:bCs/>
          <w:lang w:val="en-US" w:eastAsia="zh-CN"/>
        </w:rPr>
        <w:t>如果</w:t>
      </w:r>
      <w:r>
        <w:rPr>
          <w:rFonts w:hint="eastAsia" w:ascii="宋体" w:hAnsi="宋体" w:eastAsia="宋体" w:cs="宋体"/>
          <w:bCs/>
        </w:rPr>
        <w:t>饮酒</w:t>
      </w:r>
      <w:r>
        <w:rPr>
          <w:rFonts w:hint="eastAsia" w:ascii="宋体" w:hAnsi="宋体" w:eastAsia="宋体" w:cs="宋体"/>
          <w:bCs/>
          <w:lang w:val="en-US" w:eastAsia="zh-CN"/>
        </w:rPr>
        <w:t>或是</w:t>
      </w:r>
      <w:r>
        <w:rPr>
          <w:rFonts w:hint="eastAsia" w:ascii="宋体" w:hAnsi="宋体" w:eastAsia="宋体" w:cs="宋体"/>
          <w:bCs/>
        </w:rPr>
        <w:t>精神不振时禁止登高作业</w:t>
      </w:r>
      <w:r>
        <w:rPr>
          <w:rFonts w:hint="eastAsia" w:ascii="宋体" w:hAnsi="宋体" w:eastAsia="宋体" w:cs="宋体"/>
          <w:bCs/>
          <w:lang w:eastAsia="zh-CN"/>
        </w:rPr>
        <w:t>。</w:t>
      </w:r>
    </w:p>
    <w:p w14:paraId="69153847">
      <w:pPr>
        <w:pStyle w:val="169"/>
        <w:numPr>
          <w:ilvl w:val="3"/>
          <w:numId w:val="37"/>
        </w:numPr>
        <w:rPr>
          <w:rFonts w:hAnsi="宋体"/>
        </w:rPr>
      </w:pPr>
      <w:r>
        <w:rPr>
          <w:rFonts w:hint="eastAsia" w:hAnsi="宋体"/>
        </w:rPr>
        <w:t>高空作业中监测所用的设备应安放稳固，除确保设备本身放置平稳外，还需使用防滑垫、固定绳索等对设备进行二次固定，防止设备滑动或坠落。现场监测人员传递物件时不能抛掷，应使用绳索、滑轮等工具进行传递。</w:t>
      </w:r>
    </w:p>
    <w:p w14:paraId="6D9D9735">
      <w:pPr>
        <w:pStyle w:val="169"/>
        <w:numPr>
          <w:ilvl w:val="3"/>
          <w:numId w:val="37"/>
        </w:numPr>
        <w:rPr>
          <w:rFonts w:hAnsi="宋体"/>
        </w:rPr>
      </w:pPr>
      <w:r>
        <w:rPr>
          <w:rFonts w:hint="eastAsia" w:hAnsi="宋体" w:cs="宋体"/>
          <w:bCs/>
          <w:lang w:eastAsia="zh-CN"/>
        </w:rPr>
        <w:t>空气</w:t>
      </w:r>
      <w:r>
        <w:rPr>
          <w:rFonts w:hint="eastAsia" w:ascii="宋体" w:hAnsi="宋体" w:eastAsia="宋体" w:cs="宋体"/>
          <w:bCs/>
        </w:rPr>
        <w:t>中存在有毒气体或空气中含氧量过低时</w:t>
      </w:r>
      <w:r>
        <w:rPr>
          <w:rFonts w:hint="eastAsia" w:ascii="宋体" w:hAnsi="宋体" w:eastAsia="宋体" w:cs="宋体"/>
          <w:bCs/>
          <w:lang w:eastAsia="zh-CN"/>
        </w:rPr>
        <w:t>，</w:t>
      </w:r>
      <w:r>
        <w:rPr>
          <w:rFonts w:hint="eastAsia" w:hAnsi="宋体" w:cs="宋体"/>
          <w:bCs/>
          <w:lang w:val="en-US" w:eastAsia="zh-CN"/>
        </w:rPr>
        <w:t>现场监测人员</w:t>
      </w:r>
      <w:r>
        <w:rPr>
          <w:rFonts w:hint="eastAsia" w:ascii="宋体" w:hAnsi="宋体" w:eastAsia="宋体" w:cs="宋体"/>
          <w:bCs/>
        </w:rPr>
        <w:t>应停止高空作业</w:t>
      </w:r>
      <w:r>
        <w:rPr>
          <w:rFonts w:hint="eastAsia" w:ascii="宋体" w:hAnsi="宋体" w:eastAsia="宋体" w:cs="宋体"/>
          <w:bCs/>
          <w:lang w:eastAsia="zh-CN"/>
        </w:rPr>
        <w:t>。</w:t>
      </w:r>
    </w:p>
    <w:p w14:paraId="46770C64">
      <w:pPr>
        <w:pStyle w:val="109"/>
        <w:numPr>
          <w:ilvl w:val="2"/>
          <w:numId w:val="37"/>
        </w:numPr>
        <w:spacing w:before="156" w:after="156"/>
        <w:ind w:left="0" w:leftChars="0" w:firstLineChars="0"/>
        <w:rPr>
          <w:rFonts w:hint="eastAsia"/>
          <w:lang w:eastAsia="zh-CN"/>
        </w:rPr>
      </w:pPr>
      <w:r>
        <w:rPr>
          <w:rFonts w:hint="eastAsia"/>
          <w:lang w:eastAsia="zh-CN"/>
        </w:rPr>
        <w:t>交通事故</w:t>
      </w:r>
    </w:p>
    <w:p w14:paraId="0A3A420B">
      <w:pPr>
        <w:pStyle w:val="169"/>
        <w:numPr>
          <w:ilvl w:val="3"/>
          <w:numId w:val="37"/>
        </w:numPr>
        <w:rPr>
          <w:rFonts w:hAnsi="宋体"/>
        </w:rPr>
      </w:pPr>
      <w:r>
        <w:rPr>
          <w:rFonts w:hint="eastAsia" w:hAnsi="宋体" w:cs="宋体"/>
          <w:bCs/>
          <w:lang w:eastAsia="zh-CN"/>
        </w:rPr>
        <w:t>现场监测人员</w:t>
      </w:r>
      <w:r>
        <w:rPr>
          <w:rFonts w:hint="eastAsia" w:ascii="宋体" w:hAnsi="宋体" w:eastAsia="宋体" w:cs="宋体"/>
          <w:bCs/>
          <w:lang w:eastAsia="zh-CN"/>
        </w:rPr>
        <w:t>严禁在工作中酒驾或疲劳驾驶</w:t>
      </w:r>
      <w:r>
        <w:rPr>
          <w:rFonts w:hint="eastAsia" w:hAnsi="宋体" w:cs="宋体"/>
          <w:bCs/>
          <w:lang w:eastAsia="zh-CN"/>
        </w:rPr>
        <w:t>。</w:t>
      </w:r>
    </w:p>
    <w:p w14:paraId="638C850A">
      <w:pPr>
        <w:pStyle w:val="169"/>
        <w:numPr>
          <w:ilvl w:val="3"/>
          <w:numId w:val="37"/>
        </w:numPr>
        <w:rPr>
          <w:rFonts w:hint="eastAsia" w:hAnsi="宋体" w:cs="宋体"/>
          <w:bCs/>
        </w:rPr>
      </w:pPr>
      <w:r>
        <w:rPr>
          <w:rFonts w:hint="eastAsia" w:ascii="宋体" w:hAnsi="宋体" w:eastAsia="宋体" w:cs="宋体"/>
          <w:bCs/>
          <w:i w:val="0"/>
          <w:iCs w:val="0"/>
          <w:caps w:val="0"/>
          <w:spacing w:val="0"/>
          <w:sz w:val="21"/>
          <w:szCs w:val="20"/>
        </w:rPr>
        <w:t>在公路、铁路沿线作业时，需设置警示标志（如反光锥、限速牌），并安排专人负责警戒，疏导过往车辆。</w:t>
      </w:r>
    </w:p>
    <w:p w14:paraId="549B646A">
      <w:pPr>
        <w:pStyle w:val="169"/>
        <w:numPr>
          <w:ilvl w:val="3"/>
          <w:numId w:val="37"/>
        </w:numPr>
        <w:rPr>
          <w:rFonts w:hint="eastAsia" w:ascii="Times New Roman" w:hAnsi="Times New Roman"/>
          <w:szCs w:val="21"/>
        </w:rPr>
      </w:pPr>
      <w:r>
        <w:rPr>
          <w:rFonts w:hint="eastAsia" w:ascii="宋体" w:hAnsi="宋体" w:eastAsia="宋体" w:cs="宋体"/>
          <w:bCs/>
          <w:i w:val="0"/>
          <w:iCs w:val="0"/>
          <w:caps w:val="0"/>
          <w:spacing w:val="0"/>
          <w:sz w:val="21"/>
          <w:szCs w:val="20"/>
        </w:rPr>
        <w:t>夜间作业区域需配备充足照明设备（如</w:t>
      </w:r>
      <w:r>
        <w:rPr>
          <w:rFonts w:hint="eastAsia" w:ascii="Times New Roman" w:hAnsi="Times New Roman" w:eastAsia="宋体" w:cs="Times New Roman"/>
          <w:i w:val="0"/>
          <w:iCs w:val="0"/>
          <w:caps w:val="0"/>
          <w:spacing w:val="0"/>
          <w:sz w:val="21"/>
          <w:szCs w:val="21"/>
        </w:rPr>
        <w:t xml:space="preserve"> LED 警示灯、反光路锥），监测人员需穿戴高亮度反光背心。</w:t>
      </w:r>
    </w:p>
    <w:p w14:paraId="5C24D9AA">
      <w:pPr>
        <w:pStyle w:val="169"/>
        <w:numPr>
          <w:ilvl w:val="3"/>
          <w:numId w:val="37"/>
        </w:numPr>
        <w:rPr>
          <w:rFonts w:hint="eastAsia" w:ascii="Times New Roman" w:hAnsi="Times New Roman"/>
          <w:szCs w:val="21"/>
        </w:rPr>
      </w:pPr>
      <w:r>
        <w:rPr>
          <w:rFonts w:hint="eastAsia" w:ascii="Times New Roman" w:hAnsi="Times New Roman" w:cs="Times New Roman"/>
          <w:bCs w:val="0"/>
          <w:szCs w:val="21"/>
          <w:lang w:eastAsia="zh-CN"/>
        </w:rPr>
        <w:t>在</w:t>
      </w:r>
      <w:r>
        <w:rPr>
          <w:rFonts w:hint="eastAsia" w:ascii="Times New Roman" w:hAnsi="Times New Roman" w:eastAsia="宋体" w:cs="Times New Roman"/>
          <w:bCs w:val="0"/>
          <w:szCs w:val="21"/>
        </w:rPr>
        <w:t>枯水期进行水面采样时，</w:t>
      </w:r>
      <w:r>
        <w:rPr>
          <w:rFonts w:hint="eastAsia" w:ascii="Times New Roman" w:hAnsi="Times New Roman" w:cs="Times New Roman"/>
          <w:bCs w:val="0"/>
          <w:szCs w:val="21"/>
          <w:lang w:eastAsia="zh-CN"/>
        </w:rPr>
        <w:t>现场监测人员</w:t>
      </w:r>
      <w:r>
        <w:rPr>
          <w:rFonts w:hint="eastAsia" w:ascii="Times New Roman" w:hAnsi="Times New Roman" w:eastAsia="宋体" w:cs="Times New Roman"/>
          <w:bCs w:val="0"/>
          <w:szCs w:val="21"/>
        </w:rPr>
        <w:t>应请教专业向导，避开易搁浅的河道</w:t>
      </w:r>
      <w:r>
        <w:rPr>
          <w:rFonts w:hint="eastAsia" w:ascii="Times New Roman" w:hAnsi="Times New Roman" w:cs="Times New Roman"/>
          <w:bCs w:val="0"/>
          <w:szCs w:val="21"/>
          <w:lang w:eastAsia="zh-CN"/>
        </w:rPr>
        <w:t>。</w:t>
      </w:r>
    </w:p>
    <w:p w14:paraId="1578553E">
      <w:pPr>
        <w:pStyle w:val="169"/>
        <w:numPr>
          <w:ilvl w:val="3"/>
          <w:numId w:val="37"/>
        </w:numPr>
        <w:rPr>
          <w:rFonts w:hint="eastAsia" w:ascii="Times New Roman" w:hAnsi="Times New Roman"/>
          <w:szCs w:val="21"/>
        </w:rPr>
      </w:pPr>
      <w:r>
        <w:rPr>
          <w:rFonts w:hint="eastAsia" w:ascii="Times New Roman" w:hAnsi="Times New Roman" w:cs="Times New Roman"/>
          <w:bCs w:val="0"/>
          <w:szCs w:val="21"/>
          <w:lang w:eastAsia="zh-CN"/>
        </w:rPr>
        <w:t>在</w:t>
      </w:r>
      <w:r>
        <w:rPr>
          <w:rFonts w:hint="eastAsia" w:ascii="Times New Roman" w:hAnsi="Times New Roman" w:eastAsia="宋体" w:cs="Times New Roman"/>
          <w:bCs w:val="0"/>
          <w:szCs w:val="21"/>
        </w:rPr>
        <w:t>繁忙航道进行采样时，</w:t>
      </w:r>
      <w:r>
        <w:rPr>
          <w:rFonts w:hint="eastAsia" w:ascii="Times New Roman" w:hAnsi="Times New Roman" w:eastAsia="宋体" w:cs="Times New Roman"/>
          <w:bCs w:val="0"/>
          <w:szCs w:val="21"/>
          <w:lang w:val="en-US" w:eastAsia="zh-CN"/>
        </w:rPr>
        <w:t>监测船只</w:t>
      </w:r>
      <w:r>
        <w:rPr>
          <w:rFonts w:hint="eastAsia" w:ascii="Times New Roman" w:hAnsi="Times New Roman" w:eastAsia="宋体" w:cs="Times New Roman"/>
          <w:bCs w:val="0"/>
          <w:szCs w:val="21"/>
        </w:rPr>
        <w:t>应装备信号旗作为警示</w:t>
      </w:r>
      <w:r>
        <w:rPr>
          <w:rFonts w:hint="eastAsia" w:ascii="Times New Roman" w:hAnsi="Times New Roman" w:cs="Times New Roman"/>
          <w:bCs w:val="0"/>
          <w:szCs w:val="21"/>
          <w:lang w:eastAsia="zh-CN"/>
        </w:rPr>
        <w:t>。</w:t>
      </w:r>
    </w:p>
    <w:p w14:paraId="4BD5D459">
      <w:pPr>
        <w:pStyle w:val="109"/>
        <w:numPr>
          <w:ilvl w:val="2"/>
          <w:numId w:val="37"/>
        </w:numPr>
        <w:spacing w:before="156" w:after="156"/>
        <w:ind w:left="0" w:leftChars="0" w:firstLineChars="0"/>
        <w:rPr>
          <w:rFonts w:hint="eastAsia"/>
          <w:lang w:eastAsia="zh-CN"/>
        </w:rPr>
      </w:pPr>
      <w:r>
        <w:rPr>
          <w:rFonts w:hint="eastAsia"/>
          <w:lang w:eastAsia="zh-CN"/>
        </w:rPr>
        <w:t>爆炸与爆燃</w:t>
      </w:r>
    </w:p>
    <w:p w14:paraId="691650A6">
      <w:pPr>
        <w:pStyle w:val="169"/>
        <w:numPr>
          <w:ilvl w:val="3"/>
          <w:numId w:val="37"/>
        </w:numPr>
        <w:rPr>
          <w:rFonts w:hint="eastAsia" w:ascii="Times New Roman"/>
          <w:szCs w:val="21"/>
        </w:rPr>
      </w:pPr>
      <w:r>
        <w:rPr>
          <w:rFonts w:hint="eastAsia"/>
        </w:rPr>
        <w:t>在</w:t>
      </w:r>
      <w:r>
        <w:rPr>
          <w:rFonts w:hint="eastAsia" w:ascii="Times New Roman"/>
          <w:szCs w:val="21"/>
        </w:rPr>
        <w:t>可能产生可燃气体的监测区域（如垃圾填埋场、化工厂周边），需提前使用便携式可燃气体检测仪检测浓度，当浓度超过爆炸下限的 10% 时，立即停止作业并撤离人员。</w:t>
      </w:r>
    </w:p>
    <w:p w14:paraId="70A335C5">
      <w:pPr>
        <w:pStyle w:val="169"/>
        <w:numPr>
          <w:ilvl w:val="3"/>
          <w:numId w:val="37"/>
        </w:numPr>
        <w:rPr>
          <w:rFonts w:hint="eastAsia" w:ascii="Times New Roman"/>
          <w:szCs w:val="21"/>
        </w:rPr>
      </w:pPr>
      <w:r>
        <w:rPr>
          <w:rFonts w:hint="eastAsia" w:ascii="Times New Roman" w:hAnsi="Times New Roman" w:eastAsia="宋体" w:cs="Times New Roman"/>
          <w:i w:val="0"/>
          <w:iCs w:val="0"/>
          <w:caps w:val="0"/>
          <w:spacing w:val="0"/>
          <w:sz w:val="21"/>
          <w:szCs w:val="21"/>
        </w:rPr>
        <w:t>在易燃易爆环境中，禁止使用非防爆型通讯设备（如普通手机），需配备防爆对讲机。</w:t>
      </w:r>
    </w:p>
    <w:p w14:paraId="4A85D4CB">
      <w:pPr>
        <w:pStyle w:val="169"/>
        <w:numPr>
          <w:ilvl w:val="3"/>
          <w:numId w:val="37"/>
        </w:numPr>
        <w:rPr>
          <w:rFonts w:hint="eastAsia"/>
          <w:lang w:val="en"/>
        </w:rPr>
      </w:pPr>
      <w:r>
        <w:rPr>
          <w:rFonts w:hint="eastAsia" w:ascii="Times New Roman" w:hAnsi="Times New Roman" w:eastAsia="宋体" w:cs="Times New Roman"/>
          <w:i w:val="0"/>
          <w:iCs w:val="0"/>
          <w:caps w:val="0"/>
          <w:spacing w:val="0"/>
          <w:sz w:val="21"/>
          <w:szCs w:val="21"/>
        </w:rPr>
        <w:t>监测前需检查现场是否有明火源，并清除作业区域内的易燃物。</w:t>
      </w:r>
    </w:p>
    <w:p w14:paraId="4DDF09C7">
      <w:pPr>
        <w:pStyle w:val="169"/>
        <w:numPr>
          <w:ilvl w:val="3"/>
          <w:numId w:val="37"/>
        </w:numPr>
        <w:rPr>
          <w:lang w:val="en"/>
        </w:rPr>
      </w:pPr>
      <w:r>
        <w:rPr>
          <w:rFonts w:hint="eastAsia" w:ascii="宋体" w:hAnsi="宋体" w:cs="宋体"/>
          <w:bCs/>
          <w:szCs w:val="21"/>
          <w:lang w:eastAsia="zh-CN"/>
        </w:rPr>
        <w:t>在秋冬季节监测时，</w:t>
      </w:r>
      <w:r>
        <w:rPr>
          <w:rFonts w:hint="eastAsia" w:hAnsi="宋体" w:cs="宋体"/>
          <w:bCs/>
          <w:szCs w:val="21"/>
          <w:lang w:val="en-US" w:eastAsia="zh-CN"/>
        </w:rPr>
        <w:t>现场监测人员</w:t>
      </w:r>
      <w:r>
        <w:rPr>
          <w:rFonts w:hint="eastAsia" w:ascii="宋体" w:hAnsi="宋体" w:cs="宋体"/>
          <w:bCs/>
          <w:szCs w:val="21"/>
          <w:lang w:eastAsia="zh-CN"/>
        </w:rPr>
        <w:t>应增加空气湿度，以防止静电产生</w:t>
      </w:r>
      <w:r>
        <w:rPr>
          <w:rFonts w:hint="eastAsia"/>
        </w:rPr>
        <w:t>。</w:t>
      </w:r>
    </w:p>
    <w:p w14:paraId="680BF4C1">
      <w:pPr>
        <w:pStyle w:val="109"/>
        <w:numPr>
          <w:ilvl w:val="2"/>
          <w:numId w:val="37"/>
        </w:numPr>
        <w:spacing w:before="156" w:after="156"/>
        <w:ind w:left="0" w:leftChars="0" w:firstLineChars="0"/>
        <w:rPr>
          <w:rFonts w:hint="eastAsia"/>
          <w:lang w:eastAsia="zh-CN"/>
        </w:rPr>
      </w:pPr>
      <w:r>
        <w:rPr>
          <w:rFonts w:hint="eastAsia"/>
          <w:lang w:eastAsia="zh-CN"/>
        </w:rPr>
        <w:t>烫伤</w:t>
      </w:r>
    </w:p>
    <w:p w14:paraId="093B527A">
      <w:pPr>
        <w:pStyle w:val="169"/>
        <w:numPr>
          <w:ilvl w:val="3"/>
          <w:numId w:val="37"/>
        </w:numPr>
        <w:rPr>
          <w:rFonts w:hint="eastAsia" w:ascii="宋体" w:hAnsi="宋体" w:cs="宋体"/>
          <w:bCs/>
          <w:szCs w:val="21"/>
          <w:lang w:eastAsia="zh-CN"/>
        </w:rPr>
      </w:pPr>
      <w:r>
        <w:rPr>
          <w:rFonts w:hint="eastAsia" w:hAnsi="宋体" w:cs="宋体"/>
          <w:bCs/>
          <w:szCs w:val="21"/>
          <w:lang w:eastAsia="zh-CN"/>
        </w:rPr>
        <w:t>现场监测人员</w:t>
      </w:r>
      <w:r>
        <w:rPr>
          <w:rFonts w:hint="eastAsia" w:ascii="宋体" w:hAnsi="宋体" w:cs="宋体"/>
          <w:bCs/>
          <w:szCs w:val="21"/>
          <w:lang w:eastAsia="zh-CN"/>
        </w:rPr>
        <w:t>须戴上耐高温手套，</w:t>
      </w:r>
      <w:r>
        <w:rPr>
          <w:rFonts w:hint="eastAsia" w:ascii="宋体" w:hAnsi="宋体" w:cs="宋体"/>
          <w:bCs/>
          <w:szCs w:val="21"/>
          <w:lang w:val="en-US" w:eastAsia="zh-CN"/>
        </w:rPr>
        <w:t>同时</w:t>
      </w:r>
      <w:r>
        <w:rPr>
          <w:rFonts w:hint="eastAsia" w:ascii="宋体" w:hAnsi="宋体" w:cs="宋体"/>
          <w:bCs/>
          <w:szCs w:val="21"/>
          <w:lang w:eastAsia="zh-CN"/>
        </w:rPr>
        <w:t>避免身体裸露部位直接面对测孔。</w:t>
      </w:r>
    </w:p>
    <w:p w14:paraId="31C2234E">
      <w:pPr>
        <w:pStyle w:val="169"/>
        <w:numPr>
          <w:ilvl w:val="3"/>
          <w:numId w:val="37"/>
        </w:numPr>
        <w:rPr>
          <w:rFonts w:hint="eastAsia" w:ascii="宋体" w:hAnsi="宋体" w:cs="宋体"/>
          <w:bCs/>
          <w:szCs w:val="21"/>
          <w:lang w:eastAsia="zh-CN"/>
        </w:rPr>
      </w:pPr>
      <w:r>
        <w:rPr>
          <w:rFonts w:hint="eastAsia" w:hAnsi="宋体" w:cs="宋体"/>
          <w:bCs/>
          <w:szCs w:val="21"/>
          <w:lang w:eastAsia="zh-CN"/>
        </w:rPr>
        <w:t>现场监测人员</w:t>
      </w:r>
      <w:r>
        <w:rPr>
          <w:rFonts w:hint="eastAsia" w:ascii="宋体" w:hAnsi="宋体" w:cs="宋体"/>
          <w:bCs/>
          <w:szCs w:val="21"/>
          <w:lang w:eastAsia="zh-CN"/>
        </w:rPr>
        <w:t>应尽量站在测孔的上风向，优先选择负压的管道进行取样</w:t>
      </w:r>
      <w:r>
        <w:rPr>
          <w:rFonts w:hint="eastAsia" w:hAnsi="宋体" w:cs="宋体"/>
          <w:bCs/>
          <w:szCs w:val="21"/>
          <w:lang w:eastAsia="zh-CN"/>
        </w:rPr>
        <w:t>。</w:t>
      </w:r>
    </w:p>
    <w:p w14:paraId="0F91E85B">
      <w:pPr>
        <w:pStyle w:val="169"/>
        <w:numPr>
          <w:ilvl w:val="3"/>
          <w:numId w:val="37"/>
        </w:numPr>
        <w:rPr>
          <w:rFonts w:hint="eastAsia" w:ascii="宋体" w:hAnsi="宋体" w:cs="宋体"/>
          <w:bCs/>
          <w:szCs w:val="21"/>
          <w:lang w:eastAsia="zh-CN"/>
        </w:rPr>
      </w:pPr>
      <w:r>
        <w:rPr>
          <w:rFonts w:hint="eastAsia" w:ascii="宋体" w:hAnsi="宋体" w:eastAsia="宋体" w:cs="宋体"/>
          <w:bCs/>
          <w:i w:val="0"/>
          <w:iCs w:val="0"/>
          <w:caps w:val="0"/>
          <w:spacing w:val="0"/>
          <w:sz w:val="21"/>
          <w:szCs w:val="21"/>
        </w:rPr>
        <w:t>采样过程中若发生高温气体泄漏，需立即关闭采样阀，使用石棉布或防火毯覆盖泄漏点，待温度降低后再进行处理。</w:t>
      </w:r>
    </w:p>
    <w:p w14:paraId="754FD20F">
      <w:pPr>
        <w:pStyle w:val="69"/>
        <w:numPr>
          <w:ilvl w:val="2"/>
          <w:numId w:val="37"/>
        </w:numPr>
        <w:spacing w:before="156" w:after="156"/>
        <w:ind w:left="0" w:leftChars="0" w:firstLineChars="0"/>
      </w:pPr>
      <w:r>
        <w:rPr>
          <w:rFonts w:hint="eastAsia"/>
          <w:lang w:eastAsia="zh-CN"/>
        </w:rPr>
        <w:t>生物伤害</w:t>
      </w:r>
    </w:p>
    <w:p w14:paraId="28B29C6F">
      <w:pPr>
        <w:pStyle w:val="169"/>
        <w:numPr>
          <w:ilvl w:val="3"/>
          <w:numId w:val="37"/>
        </w:numPr>
        <w:rPr>
          <w:rFonts w:hint="eastAsia" w:ascii="宋体" w:hAnsi="宋体" w:cs="宋体"/>
          <w:bCs/>
          <w:szCs w:val="21"/>
          <w:lang w:val="en-US" w:eastAsia="zh-CN"/>
        </w:rPr>
      </w:pPr>
      <w:r>
        <w:rPr>
          <w:rFonts w:hint="eastAsia" w:hAnsi="宋体" w:cs="宋体"/>
          <w:bCs/>
          <w:szCs w:val="21"/>
        </w:rPr>
        <w:t>穿戴防护装备前，需检查防护服有无破损、防护口罩气密性是否达标；防护装备穿戴顺序应遵循 “先戴口罩，再穿防护服，最后佩戴防护眼镜”，脱卸时严格执行反向顺序，并避免外层污染面接触皮肤。离开监测现场后，所有一次性防护装备需放入专用医疗废物袋，按感染性废物处理。</w:t>
      </w:r>
    </w:p>
    <w:p w14:paraId="7A980B2F">
      <w:pPr>
        <w:pStyle w:val="169"/>
        <w:numPr>
          <w:ilvl w:val="3"/>
          <w:numId w:val="37"/>
        </w:numPr>
        <w:rPr>
          <w:rFonts w:hint="eastAsia" w:ascii="宋体" w:hAnsi="宋体" w:cs="宋体"/>
          <w:bCs/>
          <w:szCs w:val="21"/>
          <w:lang w:val="en-US" w:eastAsia="zh-CN"/>
        </w:rPr>
      </w:pPr>
      <w:r>
        <w:rPr>
          <w:rFonts w:hint="eastAsia" w:ascii="宋体" w:hAnsi="宋体" w:eastAsia="宋体" w:cs="宋体"/>
          <w:bCs/>
          <w:i w:val="0"/>
          <w:iCs w:val="0"/>
          <w:caps w:val="0"/>
          <w:spacing w:val="0"/>
          <w:sz w:val="21"/>
          <w:szCs w:val="21"/>
          <w:shd w:val="clear" w:fill="auto"/>
        </w:rPr>
        <w:t>高危样品采集前，应使用采样夹、延长杆等辅助工具，避免身体直接接触样品；操作时需保持采样容器低于腰部，防止液体因晃动溢出</w:t>
      </w:r>
      <w:r>
        <w:rPr>
          <w:rFonts w:hint="eastAsia" w:hAnsi="宋体" w:cs="宋体"/>
          <w:bCs/>
          <w:szCs w:val="21"/>
          <w:lang w:val="en-US" w:eastAsia="zh-CN"/>
        </w:rPr>
        <w:t xml:space="preserve"> 。</w:t>
      </w:r>
    </w:p>
    <w:p w14:paraId="42DEDB17">
      <w:pPr>
        <w:pStyle w:val="169"/>
        <w:numPr>
          <w:ilvl w:val="3"/>
          <w:numId w:val="37"/>
        </w:numPr>
        <w:rPr>
          <w:rFonts w:hint="eastAsia" w:ascii="宋体" w:hAnsi="宋体" w:cs="宋体"/>
          <w:bCs/>
          <w:szCs w:val="21"/>
          <w:lang w:val="en-US" w:eastAsia="zh-CN"/>
        </w:rPr>
      </w:pPr>
      <w:r>
        <w:rPr>
          <w:rFonts w:hint="eastAsia"/>
          <w:lang w:val="en-US" w:eastAsia="zh-CN"/>
        </w:rPr>
        <w:t>若样品</w:t>
      </w:r>
      <w:r>
        <w:rPr>
          <w:rFonts w:hint="eastAsia"/>
        </w:rPr>
        <w:t>发生喷溅，</w:t>
      </w:r>
      <w:r>
        <w:rPr>
          <w:rFonts w:hint="eastAsia"/>
          <w:lang w:val="en-US" w:eastAsia="zh-CN"/>
        </w:rPr>
        <w:t>应</w:t>
      </w:r>
      <w:r>
        <w:rPr>
          <w:rFonts w:hint="eastAsia"/>
        </w:rPr>
        <w:t xml:space="preserve">第一时间使用应急洗眼器冲洗面部、眼部，若液体溅到皮肤，需用 </w:t>
      </w:r>
      <w:r>
        <w:rPr>
          <w:rFonts w:hint="eastAsia" w:ascii="Times New Roman"/>
          <w:szCs w:val="21"/>
        </w:rPr>
        <w:t xml:space="preserve">75% </w:t>
      </w:r>
      <w:r>
        <w:rPr>
          <w:rFonts w:hint="eastAsia"/>
        </w:rPr>
        <w:t>酒精或含氯消毒剂擦拭；更换污染衣物后，对暴露部位进行二次消毒</w:t>
      </w:r>
      <w:r>
        <w:rPr>
          <w:rFonts w:hint="eastAsia"/>
          <w:lang w:eastAsia="zh-CN"/>
        </w:rPr>
        <w:t>。</w:t>
      </w:r>
    </w:p>
    <w:p w14:paraId="66E15885">
      <w:pPr>
        <w:pStyle w:val="169"/>
        <w:numPr>
          <w:ilvl w:val="3"/>
          <w:numId w:val="37"/>
        </w:numPr>
        <w:rPr>
          <w:rFonts w:hint="eastAsia" w:ascii="宋体" w:hAnsi="宋体" w:cs="宋体"/>
          <w:bCs/>
          <w:szCs w:val="21"/>
          <w:lang w:val="en-US" w:eastAsia="zh-CN"/>
        </w:rPr>
      </w:pPr>
      <w:r>
        <w:rPr>
          <w:rFonts w:hint="eastAsia"/>
        </w:rPr>
        <w:t>监测现场需设置明显的 “禁止饮食” 标识牌，划定清洁区与污染区，工作结束后，在清洁区完成防护装备脱卸、手部消毒后，方可进行饮食；所有食品、水杯需密封存放于远离样品的区域，避免交叉污染。</w:t>
      </w:r>
    </w:p>
    <w:p w14:paraId="77DB5C04">
      <w:pPr>
        <w:pStyle w:val="169"/>
        <w:numPr>
          <w:ilvl w:val="3"/>
          <w:numId w:val="37"/>
        </w:numPr>
        <w:rPr>
          <w:rFonts w:hint="eastAsia" w:ascii="宋体" w:hAnsi="宋体" w:cs="宋体"/>
          <w:bCs/>
          <w:szCs w:val="21"/>
          <w:lang w:val="en-US" w:eastAsia="zh-CN"/>
        </w:rPr>
      </w:pPr>
      <w:r>
        <w:rPr>
          <w:rFonts w:hint="eastAsia"/>
          <w:lang w:eastAsia="zh-CN"/>
        </w:rPr>
        <w:t>现场</w:t>
      </w:r>
      <w:r>
        <w:rPr>
          <w:rFonts w:hint="eastAsia" w:ascii="宋体" w:hAnsi="宋体" w:cs="宋体"/>
          <w:bCs/>
          <w:szCs w:val="21"/>
        </w:rPr>
        <w:t>监测常用运输车辆需定期清理消毒</w:t>
      </w:r>
      <w:r>
        <w:rPr>
          <w:rFonts w:hint="eastAsia" w:ascii="宋体" w:hAnsi="宋体" w:cs="宋体"/>
          <w:bCs/>
          <w:szCs w:val="21"/>
          <w:lang w:eastAsia="zh-CN"/>
        </w:rPr>
        <w:t>。</w:t>
      </w:r>
      <w:r>
        <w:rPr>
          <w:rFonts w:hint="eastAsia"/>
          <w:lang w:eastAsia="zh-CN"/>
        </w:rPr>
        <w:t>现场监测人员</w:t>
      </w:r>
      <w:r>
        <w:rPr>
          <w:rFonts w:hint="eastAsia"/>
        </w:rPr>
        <w:t>在进行可能具有生物危害的样品运输后，应立即进行车辆的清理消毒</w:t>
      </w:r>
      <w:r>
        <w:rPr>
          <w:rFonts w:hint="eastAsia"/>
          <w:lang w:eastAsia="zh-CN"/>
        </w:rPr>
        <w:t>。</w:t>
      </w:r>
    </w:p>
    <w:p w14:paraId="62ED1445">
      <w:pPr>
        <w:pStyle w:val="169"/>
        <w:numPr>
          <w:ilvl w:val="3"/>
          <w:numId w:val="37"/>
        </w:numPr>
        <w:rPr>
          <w:rFonts w:hint="eastAsia" w:ascii="宋体" w:hAnsi="宋体" w:cs="宋体"/>
          <w:bCs/>
          <w:szCs w:val="21"/>
          <w:lang w:val="en-US" w:eastAsia="zh-CN"/>
        </w:rPr>
      </w:pPr>
      <w:r>
        <w:rPr>
          <w:rFonts w:hint="eastAsia" w:hAnsi="宋体" w:cs="宋体"/>
          <w:bCs/>
          <w:szCs w:val="21"/>
        </w:rPr>
        <w:t>在血吸虫病疫区进行监测时，需穿戴防蚴靴、橡胶手套，作业后及时更换衣物并全身清洗，避免接触疫水。</w:t>
      </w:r>
    </w:p>
    <w:p w14:paraId="1B722468">
      <w:pPr>
        <w:pStyle w:val="169"/>
        <w:numPr>
          <w:ilvl w:val="3"/>
          <w:numId w:val="37"/>
        </w:numPr>
        <w:rPr>
          <w:rFonts w:hint="eastAsia" w:ascii="宋体" w:hAnsi="宋体" w:cs="宋体"/>
          <w:bCs/>
          <w:szCs w:val="21"/>
          <w:lang w:val="en-US" w:eastAsia="zh-CN"/>
        </w:rPr>
      </w:pPr>
      <w:r>
        <w:rPr>
          <w:rFonts w:hint="eastAsia"/>
          <w:lang w:eastAsia="zh-CN"/>
        </w:rPr>
        <w:t>在</w:t>
      </w:r>
      <w:r>
        <w:rPr>
          <w:rFonts w:hint="eastAsia" w:ascii="宋体" w:hAnsi="宋体" w:eastAsia="宋体" w:cs="宋体"/>
          <w:bCs/>
          <w:kern w:val="2"/>
        </w:rPr>
        <w:t>野外工作时，</w:t>
      </w:r>
      <w:r>
        <w:rPr>
          <w:rFonts w:hint="eastAsia" w:hAnsi="宋体" w:cs="宋体"/>
          <w:bCs/>
          <w:kern w:val="2"/>
          <w:lang w:val="en-US" w:eastAsia="zh-CN"/>
        </w:rPr>
        <w:t>现场监测人员</w:t>
      </w:r>
      <w:r>
        <w:rPr>
          <w:rFonts w:hint="eastAsia" w:ascii="宋体" w:hAnsi="宋体" w:eastAsia="宋体" w:cs="宋体"/>
          <w:bCs/>
          <w:kern w:val="2"/>
        </w:rPr>
        <w:t>应准备驱虫驱蚊相应物品。同时应准备常见药品（止血</w:t>
      </w:r>
      <w:r>
        <w:rPr>
          <w:rFonts w:hint="eastAsia" w:hAnsi="宋体" w:cs="宋体"/>
          <w:bCs/>
          <w:szCs w:val="21"/>
          <w:lang w:val="en-US" w:eastAsia="zh-CN"/>
        </w:rPr>
        <w:t>、</w:t>
      </w:r>
      <w:r>
        <w:rPr>
          <w:rFonts w:hint="eastAsia" w:ascii="宋体" w:hAnsi="宋体" w:eastAsia="宋体" w:cs="宋体"/>
          <w:bCs/>
          <w:kern w:val="2"/>
        </w:rPr>
        <w:t>消炎</w:t>
      </w:r>
      <w:r>
        <w:rPr>
          <w:rFonts w:hint="eastAsia" w:hAnsi="宋体" w:cs="宋体"/>
          <w:bCs/>
          <w:szCs w:val="21"/>
          <w:lang w:val="en-US" w:eastAsia="zh-CN"/>
        </w:rPr>
        <w:t>、</w:t>
      </w:r>
      <w:r>
        <w:rPr>
          <w:rFonts w:hint="eastAsia" w:ascii="宋体" w:hAnsi="宋体" w:eastAsia="宋体" w:cs="宋体"/>
          <w:bCs/>
          <w:kern w:val="2"/>
        </w:rPr>
        <w:t>退烧</w:t>
      </w:r>
      <w:r>
        <w:rPr>
          <w:rFonts w:hint="eastAsia" w:hAnsi="宋体" w:cs="宋体"/>
          <w:bCs/>
          <w:szCs w:val="21"/>
          <w:lang w:val="en-US" w:eastAsia="zh-CN"/>
        </w:rPr>
        <w:t>、</w:t>
      </w:r>
      <w:r>
        <w:rPr>
          <w:rFonts w:hint="eastAsia" w:ascii="宋体" w:hAnsi="宋体" w:eastAsia="宋体" w:cs="宋体"/>
          <w:bCs/>
          <w:kern w:val="2"/>
        </w:rPr>
        <w:t>止泻）</w:t>
      </w:r>
      <w:r>
        <w:rPr>
          <w:rFonts w:hint="eastAsia" w:hAnsi="宋体" w:cs="宋体"/>
          <w:bCs/>
          <w:kern w:val="2"/>
          <w:lang w:eastAsia="zh-CN"/>
        </w:rPr>
        <w:t>，</w:t>
      </w:r>
      <w:r>
        <w:rPr>
          <w:rFonts w:hint="eastAsia" w:ascii="宋体" w:hAnsi="宋体" w:eastAsia="宋体" w:cs="宋体"/>
          <w:bCs/>
          <w:i w:val="0"/>
          <w:iCs w:val="0"/>
          <w:caps w:val="0"/>
          <w:spacing w:val="0"/>
          <w:sz w:val="21"/>
          <w:szCs w:val="21"/>
          <w:shd w:val="clear" w:fill="auto"/>
        </w:rPr>
        <w:t>携带的药品需放置于防水急救包内，明确标注使用说明</w:t>
      </w:r>
      <w:r>
        <w:rPr>
          <w:rFonts w:hint="eastAsia" w:hAnsi="宋体" w:cs="宋体"/>
          <w:bCs/>
          <w:i w:val="0"/>
          <w:iCs w:val="0"/>
          <w:caps w:val="0"/>
          <w:spacing w:val="0"/>
          <w:sz w:val="21"/>
          <w:szCs w:val="21"/>
          <w:shd w:val="clear"/>
          <w:lang w:eastAsia="zh-CN"/>
        </w:rPr>
        <w:t>。</w:t>
      </w:r>
    </w:p>
    <w:p w14:paraId="2886AA4E">
      <w:pPr>
        <w:pStyle w:val="169"/>
        <w:numPr>
          <w:ilvl w:val="3"/>
          <w:numId w:val="37"/>
        </w:numPr>
        <w:rPr>
          <w:rFonts w:hint="eastAsia" w:ascii="宋体" w:hAnsi="宋体" w:cs="宋体"/>
          <w:bCs/>
          <w:szCs w:val="21"/>
          <w:lang w:val="en-US" w:eastAsia="zh-CN"/>
        </w:rPr>
      </w:pPr>
      <w:r>
        <w:rPr>
          <w:rFonts w:hint="eastAsia" w:ascii="宋体" w:hAnsi="宋体" w:eastAsia="宋体" w:cs="宋体"/>
          <w:bCs/>
          <w:kern w:val="2"/>
        </w:rPr>
        <w:t>在蛇类活动季节</w:t>
      </w:r>
      <w:r>
        <w:rPr>
          <w:rFonts w:hint="eastAsia" w:hAnsi="宋体" w:cs="宋体"/>
          <w:bCs/>
          <w:kern w:val="2"/>
          <w:lang w:val="en-US" w:eastAsia="zh-CN"/>
        </w:rPr>
        <w:t>应</w:t>
      </w:r>
      <w:r>
        <w:rPr>
          <w:rFonts w:hint="eastAsia" w:ascii="宋体" w:hAnsi="宋体" w:eastAsia="宋体" w:cs="宋体"/>
          <w:bCs/>
          <w:kern w:val="2"/>
        </w:rPr>
        <w:t>穿戴高筒厚皮鞋袜</w:t>
      </w:r>
      <w:r>
        <w:rPr>
          <w:rFonts w:hint="eastAsia" w:hAnsi="宋体" w:cs="宋体"/>
          <w:bCs/>
          <w:kern w:val="2"/>
          <w:lang w:eastAsia="zh-CN"/>
        </w:rPr>
        <w:t>。</w:t>
      </w:r>
    </w:p>
    <w:p w14:paraId="3B765366">
      <w:pPr>
        <w:pStyle w:val="109"/>
        <w:numPr>
          <w:ilvl w:val="2"/>
          <w:numId w:val="37"/>
        </w:numPr>
        <w:spacing w:before="156" w:after="156"/>
        <w:ind w:left="0" w:leftChars="0" w:firstLineChars="0"/>
      </w:pPr>
      <w:r>
        <w:rPr>
          <w:rFonts w:hint="eastAsia"/>
          <w:lang w:eastAsia="zh-CN"/>
        </w:rPr>
        <w:t>毒气与恶臭</w:t>
      </w:r>
    </w:p>
    <w:p w14:paraId="482D114D">
      <w:pPr>
        <w:pStyle w:val="169"/>
        <w:numPr>
          <w:ilvl w:val="3"/>
          <w:numId w:val="37"/>
        </w:numPr>
        <w:rPr>
          <w:rFonts w:hint="eastAsia" w:ascii="宋体" w:hAnsi="Times New Roman" w:cs="Times New Roman"/>
          <w:bCs w:val="0"/>
          <w:szCs w:val="20"/>
        </w:rPr>
      </w:pPr>
      <w:r>
        <w:rPr>
          <w:rFonts w:hint="eastAsia" w:ascii="宋体" w:hAnsi="Times New Roman" w:eastAsia="宋体" w:cs="Times New Roman"/>
          <w:i w:val="0"/>
          <w:iCs w:val="0"/>
          <w:caps w:val="0"/>
          <w:spacing w:val="0"/>
          <w:sz w:val="21"/>
          <w:szCs w:val="20"/>
        </w:rPr>
        <w:t xml:space="preserve">有限空间作业需实行 “先通风、再检测、后作业” 原则，作业过程中持续通风，并安排专人在外值守，每 </w:t>
      </w:r>
      <w:r>
        <w:rPr>
          <w:rFonts w:hint="eastAsia" w:ascii="Times New Roman" w:hAnsi="Times New Roman" w:eastAsia="宋体" w:cs="Times New Roman"/>
          <w:i w:val="0"/>
          <w:iCs w:val="0"/>
          <w:caps w:val="0"/>
          <w:spacing w:val="0"/>
          <w:sz w:val="21"/>
          <w:szCs w:val="21"/>
        </w:rPr>
        <w:t>15 分</w:t>
      </w:r>
      <w:r>
        <w:rPr>
          <w:rFonts w:hint="eastAsia" w:ascii="宋体" w:hAnsi="Times New Roman" w:eastAsia="宋体" w:cs="Times New Roman"/>
          <w:i w:val="0"/>
          <w:iCs w:val="0"/>
          <w:caps w:val="0"/>
          <w:spacing w:val="0"/>
          <w:sz w:val="21"/>
          <w:szCs w:val="20"/>
        </w:rPr>
        <w:t>钟通讯确认一次。</w:t>
      </w:r>
    </w:p>
    <w:p w14:paraId="3D6C845B">
      <w:pPr>
        <w:pStyle w:val="169"/>
        <w:numPr>
          <w:ilvl w:val="3"/>
          <w:numId w:val="37"/>
        </w:numPr>
        <w:rPr>
          <w:rFonts w:hint="eastAsia" w:ascii="宋体" w:hAnsi="Times New Roman" w:cs="Times New Roman"/>
          <w:bCs w:val="0"/>
          <w:szCs w:val="20"/>
        </w:rPr>
      </w:pPr>
      <w:r>
        <w:rPr>
          <w:rFonts w:hint="eastAsia" w:hAnsi="Times New Roman" w:cs="Times New Roman"/>
          <w:bCs w:val="0"/>
          <w:szCs w:val="20"/>
          <w:lang w:val="en-US" w:eastAsia="zh-CN"/>
        </w:rPr>
        <w:t>开展现场</w:t>
      </w:r>
      <w:r>
        <w:rPr>
          <w:rFonts w:hint="eastAsia" w:ascii="宋体" w:hAnsi="Times New Roman" w:cs="Times New Roman"/>
          <w:bCs w:val="0"/>
          <w:szCs w:val="20"/>
        </w:rPr>
        <w:t>监测</w:t>
      </w:r>
      <w:r>
        <w:rPr>
          <w:rFonts w:hint="eastAsia" w:hAnsi="Times New Roman" w:cs="Times New Roman"/>
          <w:bCs w:val="0"/>
          <w:szCs w:val="20"/>
          <w:lang w:val="en-US" w:eastAsia="zh-CN"/>
        </w:rPr>
        <w:t>活动</w:t>
      </w:r>
      <w:r>
        <w:rPr>
          <w:rFonts w:hint="eastAsia" w:ascii="宋体" w:hAnsi="Times New Roman" w:cs="Times New Roman"/>
          <w:bCs w:val="0"/>
          <w:szCs w:val="20"/>
        </w:rPr>
        <w:t>时，</w:t>
      </w:r>
      <w:r>
        <w:rPr>
          <w:rFonts w:hint="eastAsia" w:hAnsi="Times New Roman" w:cs="Times New Roman"/>
          <w:bCs w:val="0"/>
          <w:szCs w:val="20"/>
          <w:lang w:val="en-US" w:eastAsia="zh-CN"/>
        </w:rPr>
        <w:t>现场监测人员应</w:t>
      </w:r>
      <w:r>
        <w:rPr>
          <w:rFonts w:hint="eastAsia" w:ascii="宋体" w:hAnsi="Times New Roman" w:cs="Times New Roman"/>
          <w:bCs w:val="0"/>
          <w:szCs w:val="20"/>
        </w:rPr>
        <w:t>使用防毒面具</w:t>
      </w:r>
      <w:r>
        <w:rPr>
          <w:rFonts w:hint="eastAsia" w:cs="Times New Roman"/>
          <w:bCs w:val="0"/>
          <w:szCs w:val="20"/>
          <w:lang w:eastAsia="zh-CN"/>
        </w:rPr>
        <w:t>。</w:t>
      </w:r>
    </w:p>
    <w:p w14:paraId="24200E72">
      <w:pPr>
        <w:pStyle w:val="169"/>
        <w:numPr>
          <w:ilvl w:val="3"/>
          <w:numId w:val="37"/>
        </w:numPr>
        <w:rPr>
          <w:rFonts w:hint="eastAsia" w:ascii="宋体" w:hAnsi="Times New Roman" w:cs="Times New Roman"/>
          <w:bCs w:val="0"/>
          <w:szCs w:val="20"/>
        </w:rPr>
      </w:pPr>
      <w:r>
        <w:rPr>
          <w:rFonts w:hint="eastAsia" w:ascii="宋体" w:hAnsi="Times New Roman" w:cs="Times New Roman"/>
          <w:bCs w:val="0"/>
          <w:szCs w:val="20"/>
          <w:lang w:eastAsia="zh-CN"/>
        </w:rPr>
        <w:t>监</w:t>
      </w:r>
      <w:r>
        <w:rPr>
          <w:rFonts w:hint="eastAsia" w:ascii="宋体" w:hAnsi="Times New Roman" w:cs="Times New Roman"/>
          <w:bCs w:val="0"/>
          <w:szCs w:val="20"/>
        </w:rPr>
        <w:t>测工业废气时，</w:t>
      </w:r>
      <w:r>
        <w:rPr>
          <w:rFonts w:hint="eastAsia" w:hAnsi="Times New Roman" w:cs="Times New Roman"/>
          <w:bCs w:val="0"/>
          <w:szCs w:val="20"/>
          <w:lang w:eastAsia="zh-CN"/>
        </w:rPr>
        <w:t>现场监测人员</w:t>
      </w:r>
      <w:r>
        <w:rPr>
          <w:rFonts w:hint="eastAsia" w:ascii="宋体" w:hAnsi="Times New Roman" w:cs="Times New Roman"/>
          <w:bCs w:val="0"/>
          <w:szCs w:val="20"/>
        </w:rPr>
        <w:t>应了解监测因子的特性</w:t>
      </w:r>
      <w:r>
        <w:rPr>
          <w:rFonts w:hint="eastAsia" w:ascii="宋体" w:hAnsi="Times New Roman" w:cs="Times New Roman"/>
          <w:bCs w:val="0"/>
          <w:szCs w:val="20"/>
          <w:lang w:eastAsia="zh-CN"/>
        </w:rPr>
        <w:t>。</w:t>
      </w:r>
    </w:p>
    <w:p w14:paraId="08BCC57F">
      <w:pPr>
        <w:pStyle w:val="169"/>
        <w:numPr>
          <w:ilvl w:val="3"/>
          <w:numId w:val="37"/>
        </w:numPr>
        <w:rPr>
          <w:rFonts w:hint="eastAsia" w:ascii="宋体" w:hAnsi="Times New Roman" w:cs="Times New Roman"/>
          <w:bCs w:val="0"/>
          <w:szCs w:val="20"/>
        </w:rPr>
      </w:pPr>
      <w:r>
        <w:rPr>
          <w:rFonts w:hint="eastAsia" w:hAnsi="Times New Roman" w:cs="Times New Roman"/>
          <w:bCs w:val="0"/>
          <w:szCs w:val="20"/>
          <w:lang w:eastAsia="zh-CN"/>
        </w:rPr>
        <w:t>现场监测人员</w:t>
      </w:r>
      <w:r>
        <w:rPr>
          <w:rFonts w:hint="eastAsia" w:hAnsi="Times New Roman" w:cs="Times New Roman"/>
          <w:bCs w:val="0"/>
          <w:kern w:val="0"/>
          <w:lang w:val="en-US" w:eastAsia="zh-CN"/>
        </w:rPr>
        <w:t>作业地点应处于监测点的</w:t>
      </w:r>
      <w:r>
        <w:rPr>
          <w:rFonts w:hint="eastAsia" w:ascii="宋体" w:hAnsi="Times New Roman" w:eastAsia="宋体" w:cs="Times New Roman"/>
          <w:bCs w:val="0"/>
          <w:kern w:val="0"/>
          <w:lang w:eastAsia="zh-CN"/>
        </w:rPr>
        <w:t>上风向</w:t>
      </w:r>
      <w:r>
        <w:rPr>
          <w:rFonts w:hint="eastAsia" w:cs="Times New Roman"/>
          <w:bCs w:val="0"/>
          <w:kern w:val="0"/>
          <w:lang w:eastAsia="zh-CN"/>
        </w:rPr>
        <w:t>。</w:t>
      </w:r>
    </w:p>
    <w:p w14:paraId="488E7A0D">
      <w:pPr>
        <w:pStyle w:val="169"/>
        <w:numPr>
          <w:ilvl w:val="3"/>
          <w:numId w:val="37"/>
        </w:numPr>
        <w:rPr>
          <w:rFonts w:hint="eastAsia" w:ascii="宋体" w:hAnsi="Times New Roman" w:cs="Times New Roman"/>
          <w:bCs w:val="0"/>
          <w:szCs w:val="20"/>
        </w:rPr>
      </w:pPr>
      <w:r>
        <w:rPr>
          <w:rFonts w:hint="eastAsia" w:hAnsi="Times New Roman" w:cs="Times New Roman"/>
          <w:bCs w:val="0"/>
          <w:szCs w:val="20"/>
          <w:lang w:eastAsia="zh-CN"/>
        </w:rPr>
        <w:t>推荐</w:t>
      </w:r>
      <w:r>
        <w:rPr>
          <w:rFonts w:hint="eastAsia" w:ascii="宋体" w:hAnsi="Times New Roman" w:eastAsia="宋体" w:cs="Times New Roman"/>
          <w:bCs w:val="0"/>
          <w:kern w:val="0"/>
        </w:rPr>
        <w:t>在可能产生有毒气体的区域安装气体检测仪，以实时监测并自动报警</w:t>
      </w:r>
      <w:r>
        <w:rPr>
          <w:rFonts w:hint="eastAsia" w:hAnsi="Times New Roman" w:cs="Times New Roman"/>
          <w:bCs w:val="0"/>
          <w:kern w:val="0"/>
          <w:lang w:eastAsia="zh-CN"/>
        </w:rPr>
        <w:t>。</w:t>
      </w:r>
    </w:p>
    <w:p w14:paraId="3F67C884">
      <w:pPr>
        <w:pStyle w:val="169"/>
        <w:numPr>
          <w:ilvl w:val="3"/>
          <w:numId w:val="37"/>
        </w:numPr>
        <w:rPr>
          <w:rFonts w:hint="eastAsia" w:ascii="宋体" w:hAnsi="Times New Roman" w:cs="Times New Roman"/>
          <w:bCs w:val="0"/>
          <w:szCs w:val="20"/>
        </w:rPr>
      </w:pPr>
      <w:r>
        <w:rPr>
          <w:rFonts w:hint="eastAsia" w:ascii="宋体" w:hAnsi="Times New Roman" w:eastAsia="宋体" w:cs="Times New Roman"/>
          <w:i w:val="0"/>
          <w:iCs w:val="0"/>
          <w:caps w:val="0"/>
          <w:spacing w:val="0"/>
          <w:sz w:val="21"/>
          <w:szCs w:val="20"/>
          <w:shd w:val="clear" w:fill="auto"/>
        </w:rPr>
        <w:t>若监测过程中气体检测仪报警，现场人员应立即佩戴正压式空气呼吸器，使用通风设备驱散有毒气体，并迅速撤离至安全区域。</w:t>
      </w:r>
    </w:p>
    <w:p w14:paraId="4349D157">
      <w:pPr>
        <w:pStyle w:val="69"/>
        <w:numPr>
          <w:ilvl w:val="2"/>
          <w:numId w:val="37"/>
        </w:numPr>
        <w:spacing w:before="156" w:after="156"/>
        <w:ind w:left="0" w:leftChars="0" w:firstLineChars="0"/>
        <w:rPr>
          <w:rFonts w:hint="eastAsia"/>
          <w:lang w:eastAsia="zh-CN"/>
        </w:rPr>
      </w:pPr>
      <w:r>
        <w:rPr>
          <w:rFonts w:hint="eastAsia"/>
          <w:lang w:eastAsia="zh-CN"/>
        </w:rPr>
        <w:t>机械伤害</w:t>
      </w:r>
    </w:p>
    <w:p w14:paraId="796323EB">
      <w:pPr>
        <w:pStyle w:val="169"/>
        <w:numPr>
          <w:ilvl w:val="3"/>
          <w:numId w:val="37"/>
        </w:numPr>
        <w:rPr>
          <w:rFonts w:hint="eastAsia" w:ascii="宋体" w:hAnsi="宋体" w:cs="宋体"/>
          <w:bCs/>
          <w:szCs w:val="21"/>
          <w:lang w:eastAsia="zh-CN"/>
        </w:rPr>
      </w:pPr>
      <w:r>
        <w:rPr>
          <w:rFonts w:hint="eastAsia" w:hAnsi="宋体" w:cs="宋体"/>
          <w:bCs/>
          <w:kern w:val="2"/>
          <w:lang w:val="en-US" w:eastAsia="zh-CN"/>
        </w:rPr>
        <w:t>现场监测人员</w:t>
      </w:r>
      <w:r>
        <w:rPr>
          <w:rFonts w:hint="eastAsia" w:ascii="宋体" w:hAnsi="宋体" w:eastAsia="宋体" w:cs="宋体"/>
          <w:bCs/>
          <w:kern w:val="2"/>
          <w:lang w:val="en-US" w:eastAsia="zh-CN"/>
        </w:rPr>
        <w:t>应</w:t>
      </w:r>
      <w:r>
        <w:rPr>
          <w:rFonts w:hint="default" w:ascii="宋体" w:hAnsi="宋体" w:eastAsia="宋体" w:cs="宋体"/>
          <w:bCs/>
          <w:kern w:val="2"/>
          <w:lang w:val="en-US" w:eastAsia="zh-CN"/>
        </w:rPr>
        <w:t>保持头发远离旋转部件</w:t>
      </w:r>
      <w:r>
        <w:rPr>
          <w:rFonts w:hint="eastAsia" w:ascii="宋体" w:hAnsi="宋体" w:eastAsia="宋体" w:cs="宋体"/>
          <w:bCs/>
          <w:kern w:val="2"/>
          <w:lang w:val="en-US" w:eastAsia="zh-CN"/>
        </w:rPr>
        <w:t>并</w:t>
      </w:r>
      <w:r>
        <w:rPr>
          <w:rFonts w:hint="default" w:ascii="宋体" w:hAnsi="宋体" w:eastAsia="宋体" w:cs="宋体"/>
          <w:bCs/>
          <w:kern w:val="2"/>
          <w:lang w:val="en-US" w:eastAsia="zh-CN"/>
        </w:rPr>
        <w:t>穿着紧身衣物以防被机器部件勾住</w:t>
      </w:r>
      <w:r>
        <w:rPr>
          <w:rFonts w:hint="eastAsia" w:hAnsi="宋体" w:cs="宋体"/>
          <w:bCs/>
          <w:kern w:val="2"/>
          <w:lang w:val="en-US" w:eastAsia="zh-CN"/>
        </w:rPr>
        <w:t>。</w:t>
      </w:r>
    </w:p>
    <w:p w14:paraId="68B8FF9B">
      <w:pPr>
        <w:pStyle w:val="169"/>
        <w:numPr>
          <w:ilvl w:val="3"/>
          <w:numId w:val="37"/>
        </w:numPr>
        <w:rPr>
          <w:rFonts w:hint="eastAsia" w:ascii="宋体" w:hAnsi="宋体" w:cs="宋体"/>
          <w:bCs/>
          <w:szCs w:val="21"/>
          <w:lang w:eastAsia="zh-CN"/>
        </w:rPr>
      </w:pPr>
      <w:r>
        <w:rPr>
          <w:rFonts w:hint="eastAsia" w:hAnsi="宋体" w:cs="宋体"/>
          <w:bCs/>
          <w:kern w:val="2"/>
          <w:lang w:val="en-US" w:eastAsia="zh-CN"/>
        </w:rPr>
        <w:t>机械</w:t>
      </w:r>
      <w:r>
        <w:rPr>
          <w:rFonts w:hint="default" w:ascii="宋体" w:hAnsi="宋体" w:eastAsia="宋体" w:cs="宋体"/>
          <w:bCs/>
          <w:kern w:val="2"/>
          <w:lang w:val="en-US" w:eastAsia="zh-CN"/>
        </w:rPr>
        <w:t>设备及其部件和配件在使用、运输、组装和拆卸过程中</w:t>
      </w:r>
      <w:r>
        <w:rPr>
          <w:rFonts w:hint="eastAsia" w:ascii="宋体" w:hAnsi="宋体" w:eastAsia="宋体" w:cs="宋体"/>
          <w:bCs/>
          <w:kern w:val="2"/>
          <w:lang w:val="en-US" w:eastAsia="zh-CN"/>
        </w:rPr>
        <w:t>应进行固定，防止其滑动。</w:t>
      </w:r>
    </w:p>
    <w:p w14:paraId="19B17A3F">
      <w:pPr>
        <w:pStyle w:val="169"/>
        <w:numPr>
          <w:ilvl w:val="3"/>
          <w:numId w:val="37"/>
        </w:numPr>
        <w:rPr>
          <w:rFonts w:hint="eastAsia" w:ascii="宋体" w:hAnsi="宋体" w:cs="宋体"/>
          <w:bCs/>
          <w:szCs w:val="21"/>
          <w:lang w:eastAsia="zh-CN"/>
        </w:rPr>
      </w:pPr>
      <w:r>
        <w:rPr>
          <w:rFonts w:hint="eastAsia" w:hAnsi="宋体" w:cs="宋体"/>
          <w:bCs/>
          <w:kern w:val="2"/>
          <w:lang w:val="en-US" w:eastAsia="zh-CN"/>
        </w:rPr>
        <w:t>当现场监测人员</w:t>
      </w:r>
      <w:r>
        <w:rPr>
          <w:rFonts w:hint="default" w:ascii="宋体" w:hAnsi="宋体" w:eastAsia="宋体" w:cs="宋体"/>
          <w:bCs/>
          <w:kern w:val="2"/>
          <w:lang w:val="en-US" w:eastAsia="zh-CN"/>
        </w:rPr>
        <w:t>接触的部件有锋利的边缘</w:t>
      </w:r>
      <w:r>
        <w:rPr>
          <w:rFonts w:hint="eastAsia" w:ascii="宋体" w:hAnsi="宋体" w:eastAsia="宋体" w:cs="宋体"/>
          <w:bCs/>
          <w:kern w:val="2"/>
          <w:lang w:val="en-US" w:eastAsia="zh-CN"/>
        </w:rPr>
        <w:t>和</w:t>
      </w:r>
      <w:r>
        <w:rPr>
          <w:rFonts w:hint="default" w:ascii="宋体" w:hAnsi="宋体" w:eastAsia="宋体" w:cs="宋体"/>
          <w:bCs/>
          <w:kern w:val="2"/>
          <w:lang w:val="en-US" w:eastAsia="zh-CN"/>
        </w:rPr>
        <w:t>尖锐的角度</w:t>
      </w:r>
      <w:r>
        <w:rPr>
          <w:rFonts w:hint="eastAsia" w:ascii="宋体" w:hAnsi="宋体" w:eastAsia="宋体" w:cs="宋体"/>
          <w:bCs/>
          <w:kern w:val="2"/>
          <w:lang w:val="en-US" w:eastAsia="zh-CN"/>
        </w:rPr>
        <w:t>时，</w:t>
      </w:r>
      <w:r>
        <w:rPr>
          <w:rFonts w:hint="eastAsia" w:hAnsi="宋体" w:cs="宋体"/>
          <w:bCs/>
          <w:kern w:val="2"/>
          <w:lang w:val="en-US" w:eastAsia="zh-CN"/>
        </w:rPr>
        <w:t>现场监测人员</w:t>
      </w:r>
      <w:r>
        <w:rPr>
          <w:rFonts w:hint="eastAsia" w:ascii="宋体" w:hAnsi="宋体" w:eastAsia="宋体" w:cs="宋体"/>
          <w:bCs/>
          <w:kern w:val="2"/>
          <w:lang w:val="en-US" w:eastAsia="zh-CN"/>
        </w:rPr>
        <w:t>应</w:t>
      </w:r>
      <w:r>
        <w:rPr>
          <w:rFonts w:hint="eastAsia" w:hAnsi="宋体" w:cs="宋体"/>
          <w:bCs/>
          <w:kern w:val="2"/>
        </w:rPr>
        <w:t>遵循</w:t>
      </w:r>
      <w:r>
        <w:rPr>
          <w:rFonts w:hint="eastAsia" w:ascii="Times New Roman"/>
          <w:szCs w:val="21"/>
        </w:rPr>
        <w:t>GB/T 8196</w:t>
      </w:r>
      <w:r>
        <w:rPr>
          <w:rFonts w:hint="eastAsia" w:hAnsi="宋体" w:cs="宋体"/>
          <w:bCs/>
          <w:kern w:val="2"/>
        </w:rPr>
        <w:t>，使用专用工具（如防爆铲、夹取器）并佩戴防刺手套、护目镜等防护装备。</w:t>
      </w:r>
    </w:p>
    <w:p w14:paraId="453B87D0">
      <w:pPr>
        <w:pStyle w:val="69"/>
        <w:numPr>
          <w:ilvl w:val="2"/>
          <w:numId w:val="37"/>
        </w:numPr>
        <w:spacing w:before="156" w:after="156"/>
        <w:ind w:left="0" w:leftChars="0" w:firstLineChars="0"/>
      </w:pPr>
      <w:r>
        <w:rPr>
          <w:rFonts w:hint="eastAsia"/>
          <w:lang w:eastAsia="zh-CN"/>
        </w:rPr>
        <w:t>噪声伤害</w:t>
      </w:r>
    </w:p>
    <w:p w14:paraId="7B65037A">
      <w:pPr>
        <w:pStyle w:val="166"/>
        <w:keepNext w:val="0"/>
        <w:keepLines w:val="0"/>
        <w:pageBreakBefore w:val="0"/>
        <w:widowControl/>
        <w:numPr>
          <w:ilvl w:val="3"/>
          <w:numId w:val="37"/>
        </w:numPr>
        <w:kinsoku/>
        <w:wordWrap/>
        <w:overflowPunct/>
        <w:topLinePunct w:val="0"/>
        <w:autoSpaceDE/>
        <w:autoSpaceDN/>
        <w:bidi w:val="0"/>
        <w:adjustRightInd/>
        <w:snapToGrid/>
        <w:spacing w:line="220" w:lineRule="exact"/>
        <w:textAlignment w:val="auto"/>
        <w:rPr>
          <w:rFonts w:hint="eastAsia" w:hAnsi="宋体" w:cs="宋体"/>
          <w:bCs/>
          <w:kern w:val="2"/>
        </w:rPr>
      </w:pPr>
      <w:r>
        <w:rPr>
          <w:rFonts w:hint="eastAsia" w:ascii="宋体" w:hAnsi="宋体" w:eastAsia="宋体" w:cs="宋体"/>
          <w:bCs/>
          <w:i w:val="0"/>
          <w:iCs w:val="0"/>
          <w:caps w:val="0"/>
          <w:spacing w:val="0"/>
          <w:kern w:val="2"/>
          <w:sz w:val="21"/>
          <w:szCs w:val="20"/>
        </w:rPr>
        <w:t>在强噪声环境作业时，需佩戴隔音耳罩（降噪值≥</w:t>
      </w:r>
      <w:r>
        <w:rPr>
          <w:rFonts w:hint="eastAsia" w:ascii="Times New Roman" w:hAnsi="Times New Roman" w:eastAsia="宋体" w:cs="Times New Roman"/>
          <w:i w:val="0"/>
          <w:iCs w:val="0"/>
          <w:caps w:val="0"/>
          <w:spacing w:val="0"/>
          <w:sz w:val="21"/>
          <w:szCs w:val="21"/>
        </w:rPr>
        <w:t>30dB</w:t>
      </w:r>
      <w:r>
        <w:rPr>
          <w:rFonts w:hint="eastAsia" w:ascii="宋体" w:hAnsi="宋体" w:eastAsia="宋体" w:cs="宋体"/>
          <w:bCs/>
          <w:i w:val="0"/>
          <w:iCs w:val="0"/>
          <w:caps w:val="0"/>
          <w:spacing w:val="0"/>
          <w:kern w:val="2"/>
          <w:sz w:val="21"/>
          <w:szCs w:val="20"/>
        </w:rPr>
        <w:t>），连续作业时间不得超过</w:t>
      </w:r>
      <w:r>
        <w:rPr>
          <w:rFonts w:hint="eastAsia" w:ascii="Times New Roman" w:hAnsi="Times New Roman" w:eastAsia="宋体" w:cs="Times New Roman"/>
          <w:i w:val="0"/>
          <w:iCs w:val="0"/>
          <w:caps w:val="0"/>
          <w:spacing w:val="0"/>
          <w:sz w:val="21"/>
          <w:szCs w:val="21"/>
        </w:rPr>
        <w:t>2</w:t>
      </w:r>
      <w:r>
        <w:rPr>
          <w:rFonts w:hint="eastAsia" w:ascii="宋体" w:hAnsi="宋体" w:eastAsia="宋体" w:cs="宋体"/>
          <w:bCs/>
          <w:i w:val="0"/>
          <w:iCs w:val="0"/>
          <w:caps w:val="0"/>
          <w:spacing w:val="0"/>
          <w:kern w:val="2"/>
          <w:sz w:val="21"/>
          <w:szCs w:val="20"/>
        </w:rPr>
        <w:t>小时，需轮班休息。</w:t>
      </w:r>
    </w:p>
    <w:p w14:paraId="7938188D">
      <w:pPr>
        <w:pStyle w:val="166"/>
        <w:keepNext w:val="0"/>
        <w:keepLines w:val="0"/>
        <w:pageBreakBefore w:val="0"/>
        <w:widowControl/>
        <w:numPr>
          <w:ilvl w:val="3"/>
          <w:numId w:val="37"/>
        </w:numPr>
        <w:kinsoku/>
        <w:wordWrap/>
        <w:overflowPunct/>
        <w:topLinePunct w:val="0"/>
        <w:autoSpaceDE/>
        <w:autoSpaceDN/>
        <w:bidi w:val="0"/>
        <w:adjustRightInd/>
        <w:snapToGrid/>
        <w:spacing w:line="220" w:lineRule="exact"/>
        <w:textAlignment w:val="auto"/>
      </w:pPr>
      <w:r>
        <w:rPr>
          <w:rFonts w:hint="eastAsia"/>
          <w:lang w:eastAsia="zh-CN"/>
        </w:rPr>
        <w:t>现场监测人员</w:t>
      </w:r>
      <w:r>
        <w:rPr>
          <w:rFonts w:hint="eastAsia" w:ascii="宋体" w:hAnsi="宋体" w:eastAsia="宋体" w:cs="宋体"/>
          <w:bCs/>
          <w:kern w:val="2"/>
          <w:lang w:val="en-US" w:eastAsia="zh-CN"/>
        </w:rPr>
        <w:t>应</w:t>
      </w:r>
      <w:r>
        <w:rPr>
          <w:rFonts w:hint="eastAsia" w:ascii="宋体" w:hAnsi="宋体" w:eastAsia="宋体" w:cs="宋体"/>
          <w:bCs/>
          <w:kern w:val="2"/>
          <w:lang w:eastAsia="zh-CN"/>
        </w:rPr>
        <w:t>定期进行听力测试与声振评估</w:t>
      </w:r>
      <w:r>
        <w:rPr>
          <w:rFonts w:hint="eastAsia"/>
        </w:rPr>
        <w:t>。</w:t>
      </w:r>
    </w:p>
    <w:p w14:paraId="23C60BD7">
      <w:pPr>
        <w:pStyle w:val="69"/>
        <w:numPr>
          <w:ilvl w:val="2"/>
          <w:numId w:val="37"/>
        </w:numPr>
        <w:spacing w:before="156" w:after="156"/>
        <w:ind w:left="0" w:leftChars="0" w:firstLineChars="0"/>
        <w:rPr>
          <w:rFonts w:hint="eastAsia"/>
          <w:lang w:eastAsia="zh-CN"/>
        </w:rPr>
      </w:pPr>
      <w:r>
        <w:rPr>
          <w:rFonts w:hint="eastAsia"/>
          <w:lang w:eastAsia="zh-CN"/>
        </w:rPr>
        <w:t>野外失联</w:t>
      </w:r>
    </w:p>
    <w:p w14:paraId="42AC480F">
      <w:pPr>
        <w:pStyle w:val="166"/>
        <w:numPr>
          <w:ilvl w:val="3"/>
          <w:numId w:val="37"/>
        </w:numPr>
        <w:rPr>
          <w:rFonts w:hint="eastAsia" w:ascii="Times New Roman"/>
          <w:szCs w:val="21"/>
        </w:rPr>
      </w:pPr>
      <w:r>
        <w:rPr>
          <w:rFonts w:hint="eastAsia" w:ascii="Times New Roman"/>
          <w:szCs w:val="21"/>
          <w:lang w:eastAsia="zh-CN"/>
        </w:rPr>
        <w:t>现场监测人员</w:t>
      </w:r>
      <w:r>
        <w:rPr>
          <w:rFonts w:hint="eastAsia" w:ascii="Times New Roman"/>
          <w:szCs w:val="21"/>
        </w:rPr>
        <w:t>在前往野外工前，必须对野外工作区和工作路线进行预设计，提前了解工作路线环境，预判可能存在的危险因素</w:t>
      </w:r>
      <w:r>
        <w:rPr>
          <w:rFonts w:hint="eastAsia" w:ascii="Times New Roman"/>
          <w:szCs w:val="21"/>
          <w:lang w:eastAsia="zh-CN"/>
        </w:rPr>
        <w:t>。</w:t>
      </w:r>
    </w:p>
    <w:p w14:paraId="366C4C71">
      <w:pPr>
        <w:pStyle w:val="166"/>
        <w:numPr>
          <w:ilvl w:val="3"/>
          <w:numId w:val="37"/>
        </w:numPr>
        <w:rPr>
          <w:rFonts w:hint="eastAsia" w:ascii="Times New Roman"/>
          <w:szCs w:val="21"/>
        </w:rPr>
      </w:pPr>
      <w:r>
        <w:rPr>
          <w:rFonts w:hint="eastAsia" w:ascii="Times New Roman" w:hAnsi="Times New Roman" w:eastAsia="宋体" w:cs="Times New Roman"/>
          <w:i w:val="0"/>
          <w:iCs w:val="0"/>
          <w:caps w:val="0"/>
          <w:spacing w:val="0"/>
          <w:sz w:val="21"/>
          <w:szCs w:val="21"/>
        </w:rPr>
        <w:t>野外作业小组需至少 3 人同行，携带足够的食物、饮用水和应急药品，每日定时向安全负责人报告位置及工作进展。</w:t>
      </w:r>
    </w:p>
    <w:p w14:paraId="7A389AA0">
      <w:pPr>
        <w:pStyle w:val="166"/>
        <w:numPr>
          <w:ilvl w:val="3"/>
          <w:numId w:val="37"/>
        </w:numPr>
        <w:rPr>
          <w:rFonts w:hint="eastAsia" w:ascii="Times New Roman"/>
          <w:szCs w:val="21"/>
        </w:rPr>
      </w:pPr>
      <w:r>
        <w:rPr>
          <w:rFonts w:hint="eastAsia" w:ascii="Times New Roman" w:hAnsi="Times New Roman" w:eastAsia="宋体" w:cs="Times New Roman"/>
          <w:i w:val="0"/>
          <w:iCs w:val="0"/>
          <w:caps w:val="0"/>
          <w:spacing w:val="0"/>
          <w:sz w:val="21"/>
          <w:szCs w:val="21"/>
        </w:rPr>
        <w:t>在无手机信号区域，需配备卫星定位仪，每小时记录一次坐标，遇紧急情况通过卫星短信发送求救信号。</w:t>
      </w:r>
    </w:p>
    <w:p w14:paraId="5223244F">
      <w:pPr>
        <w:pStyle w:val="69"/>
        <w:numPr>
          <w:ilvl w:val="2"/>
          <w:numId w:val="37"/>
        </w:numPr>
        <w:spacing w:before="156" w:after="156"/>
        <w:ind w:left="0" w:leftChars="0" w:firstLineChars="0"/>
        <w:rPr>
          <w:rFonts w:hint="eastAsia"/>
          <w:lang w:eastAsia="zh-CN"/>
        </w:rPr>
      </w:pPr>
      <w:r>
        <w:rPr>
          <w:rFonts w:hint="eastAsia"/>
          <w:lang w:eastAsia="zh-CN"/>
        </w:rPr>
        <w:t>辐射伤害</w:t>
      </w:r>
    </w:p>
    <w:p w14:paraId="383EAF61">
      <w:pPr>
        <w:pStyle w:val="166"/>
        <w:numPr>
          <w:ilvl w:val="3"/>
          <w:numId w:val="37"/>
        </w:numPr>
      </w:pPr>
      <w:r>
        <w:rPr>
          <w:rFonts w:hint="eastAsia" w:hAnsi="宋体" w:cs="宋体"/>
          <w:bCs/>
          <w:kern w:val="2"/>
          <w:lang w:eastAsia="zh-CN"/>
        </w:rPr>
        <w:t>现场监测人员</w:t>
      </w:r>
      <w:r>
        <w:rPr>
          <w:rFonts w:hint="eastAsia" w:ascii="宋体" w:hAnsi="宋体" w:eastAsia="宋体" w:cs="宋体"/>
          <w:bCs/>
          <w:kern w:val="2"/>
        </w:rPr>
        <w:t>应尽量减少在可能有辐射的环境中的工作时间</w:t>
      </w:r>
      <w:r>
        <w:rPr>
          <w:rFonts w:hint="eastAsia"/>
        </w:rPr>
        <w:t>。</w:t>
      </w:r>
    </w:p>
    <w:p w14:paraId="46C0A8F5">
      <w:pPr>
        <w:pStyle w:val="166"/>
        <w:numPr>
          <w:ilvl w:val="3"/>
          <w:numId w:val="37"/>
        </w:numPr>
      </w:pPr>
      <w:r>
        <w:rPr>
          <w:rFonts w:hint="eastAsia"/>
          <w:lang w:eastAsia="zh-CN"/>
        </w:rPr>
        <w:t>现场监测人员</w:t>
      </w:r>
      <w:r>
        <w:rPr>
          <w:rFonts w:hint="eastAsia" w:ascii="宋体" w:hAnsi="宋体" w:eastAsia="宋体" w:cs="宋体"/>
          <w:bCs/>
          <w:kern w:val="2"/>
        </w:rPr>
        <w:t>需配备辐射屏障如抗辐射服，</w:t>
      </w:r>
      <w:r>
        <w:rPr>
          <w:rFonts w:hint="eastAsia" w:ascii="宋体" w:hAnsi="宋体" w:eastAsia="宋体" w:cs="宋体"/>
          <w:bCs/>
          <w:kern w:val="2"/>
          <w:lang w:val="en-US" w:eastAsia="zh-CN"/>
        </w:rPr>
        <w:t>并</w:t>
      </w:r>
      <w:r>
        <w:rPr>
          <w:rFonts w:hint="eastAsia" w:ascii="宋体" w:hAnsi="宋体" w:eastAsia="宋体" w:cs="宋体"/>
          <w:bCs/>
          <w:kern w:val="2"/>
        </w:rPr>
        <w:t>携带辐射计数装置，时刻监测辐射水平</w:t>
      </w:r>
      <w:r>
        <w:rPr>
          <w:rFonts w:hint="eastAsia" w:hAnsi="宋体" w:cs="宋体"/>
          <w:bCs/>
          <w:kern w:val="2"/>
          <w:lang w:eastAsia="zh-CN"/>
        </w:rPr>
        <w:t>。</w:t>
      </w:r>
    </w:p>
    <w:p w14:paraId="3888AFFB">
      <w:pPr>
        <w:pStyle w:val="166"/>
        <w:numPr>
          <w:ilvl w:val="3"/>
          <w:numId w:val="37"/>
        </w:numPr>
        <w:rPr>
          <w:rFonts w:hint="eastAsia" w:hAnsi="宋体" w:cs="宋体"/>
          <w:bCs/>
          <w:kern w:val="2"/>
        </w:rPr>
      </w:pPr>
      <w:r>
        <w:rPr>
          <w:rFonts w:hint="eastAsia" w:ascii="宋体" w:hAnsi="宋体" w:eastAsia="宋体" w:cs="宋体"/>
          <w:bCs/>
          <w:i w:val="0"/>
          <w:iCs w:val="0"/>
          <w:caps w:val="0"/>
          <w:spacing w:val="0"/>
          <w:kern w:val="2"/>
          <w:sz w:val="21"/>
          <w:szCs w:val="20"/>
        </w:rPr>
        <w:t>放射性样品采集需使用远程操作设备（如机械臂），减少人员直接暴露时间，采样后迅速放入铅制容器密封保存。</w:t>
      </w:r>
    </w:p>
    <w:p w14:paraId="4E0CFE15">
      <w:pPr>
        <w:pStyle w:val="166"/>
        <w:numPr>
          <w:ilvl w:val="3"/>
          <w:numId w:val="37"/>
        </w:numPr>
      </w:pPr>
      <w:r>
        <w:rPr>
          <w:rFonts w:hint="eastAsia" w:hAnsi="宋体" w:cs="宋体"/>
          <w:bCs/>
          <w:kern w:val="2"/>
          <w:lang w:eastAsia="zh-CN"/>
        </w:rPr>
        <w:t>安全</w:t>
      </w:r>
      <w:r>
        <w:rPr>
          <w:rFonts w:hint="eastAsia" w:hAnsi="宋体" w:cs="宋体"/>
          <w:bCs/>
          <w:kern w:val="2"/>
          <w:lang w:val="en-US" w:eastAsia="zh-CN"/>
        </w:rPr>
        <w:t>员</w:t>
      </w:r>
      <w:r>
        <w:rPr>
          <w:rFonts w:hint="eastAsia" w:ascii="宋体" w:hAnsi="宋体" w:eastAsia="宋体" w:cs="宋体"/>
          <w:bCs/>
          <w:kern w:val="2"/>
          <w:lang w:val="en-US" w:eastAsia="zh-CN"/>
        </w:rPr>
        <w:t>应</w:t>
      </w:r>
      <w:r>
        <w:rPr>
          <w:rFonts w:hint="eastAsia" w:ascii="宋体" w:hAnsi="宋体" w:eastAsia="宋体" w:cs="宋体"/>
          <w:bCs/>
          <w:kern w:val="2"/>
        </w:rPr>
        <w:t>提前准备相应抗辐射药剂</w:t>
      </w:r>
      <w:r>
        <w:rPr>
          <w:rFonts w:hint="eastAsia" w:ascii="宋体" w:hAnsi="宋体" w:eastAsia="宋体" w:cs="宋体"/>
          <w:bCs/>
          <w:kern w:val="2"/>
          <w:lang w:val="en-US" w:eastAsia="zh-CN"/>
        </w:rPr>
        <w:t>并</w:t>
      </w:r>
      <w:r>
        <w:rPr>
          <w:rFonts w:hint="eastAsia" w:ascii="宋体" w:hAnsi="宋体" w:eastAsia="宋体" w:cs="宋体"/>
          <w:bCs/>
          <w:kern w:val="2"/>
        </w:rPr>
        <w:t>对从事辐射监测的工作人员进行定期</w:t>
      </w:r>
      <w:r>
        <w:rPr>
          <w:rFonts w:hint="eastAsia" w:hAnsi="宋体" w:cs="宋体"/>
          <w:bCs/>
          <w:kern w:val="2"/>
          <w:lang w:val="en-US" w:eastAsia="zh-CN"/>
        </w:rPr>
        <w:t>的</w:t>
      </w:r>
      <w:r>
        <w:rPr>
          <w:rFonts w:hint="eastAsia" w:ascii="宋体" w:hAnsi="宋体" w:eastAsia="宋体" w:cs="宋体"/>
          <w:bCs/>
          <w:kern w:val="2"/>
        </w:rPr>
        <w:t>个人剂量监测</w:t>
      </w:r>
      <w:r>
        <w:rPr>
          <w:rFonts w:hint="eastAsia" w:hAnsi="宋体" w:cs="宋体"/>
          <w:bCs/>
          <w:kern w:val="2"/>
          <w:lang w:eastAsia="zh-CN"/>
        </w:rPr>
        <w:t>。</w:t>
      </w:r>
    </w:p>
    <w:p w14:paraId="7B48EF08">
      <w:pPr>
        <w:pStyle w:val="69"/>
        <w:numPr>
          <w:ilvl w:val="2"/>
          <w:numId w:val="37"/>
        </w:numPr>
        <w:spacing w:before="156" w:after="156"/>
      </w:pPr>
      <w:r>
        <w:rPr>
          <w:rFonts w:hint="eastAsia"/>
          <w:lang w:val="en-US" w:eastAsia="zh-CN"/>
        </w:rPr>
        <w:t>高空坠物</w:t>
      </w:r>
    </w:p>
    <w:p w14:paraId="7CDE3850">
      <w:pPr>
        <w:pStyle w:val="166"/>
        <w:numPr>
          <w:ilvl w:val="3"/>
          <w:numId w:val="37"/>
        </w:numPr>
        <w:rPr>
          <w:rFonts w:hint="eastAsia" w:hAnsi="宋体" w:cs="宋体"/>
          <w:bCs/>
          <w:kern w:val="2"/>
        </w:rPr>
      </w:pPr>
      <w:r>
        <w:rPr>
          <w:rFonts w:hint="eastAsia" w:hAnsi="宋体" w:cs="宋体"/>
          <w:bCs/>
          <w:kern w:val="2"/>
        </w:rPr>
        <w:t>所有进入建设用地的监测人员须佩戴</w:t>
      </w:r>
      <w:r>
        <w:rPr>
          <w:rFonts w:hint="eastAsia" w:ascii="Times New Roman"/>
          <w:szCs w:val="21"/>
        </w:rPr>
        <w:t>符合GB 2811</w:t>
      </w:r>
      <w:r>
        <w:rPr>
          <w:rFonts w:hint="eastAsia" w:ascii="Times New Roman"/>
          <w:szCs w:val="21"/>
          <w:lang w:val="en-US" w:eastAsia="zh-CN"/>
        </w:rPr>
        <w:t>要求的</w:t>
      </w:r>
      <w:r>
        <w:rPr>
          <w:rFonts w:hint="eastAsia" w:hAnsi="宋体" w:cs="宋体"/>
          <w:bCs/>
          <w:kern w:val="2"/>
        </w:rPr>
        <w:t>安全帽，并检查帽衬、下颌带的牢固性。</w:t>
      </w:r>
    </w:p>
    <w:p w14:paraId="0D52047A">
      <w:pPr>
        <w:pStyle w:val="166"/>
        <w:numPr>
          <w:ilvl w:val="3"/>
          <w:numId w:val="37"/>
        </w:numPr>
        <w:rPr>
          <w:rFonts w:hint="eastAsia" w:hAnsi="宋体" w:cs="宋体"/>
          <w:bCs/>
          <w:kern w:val="2"/>
        </w:rPr>
      </w:pPr>
      <w:r>
        <w:rPr>
          <w:rFonts w:hint="eastAsia" w:ascii="宋体" w:hAnsi="宋体" w:eastAsia="宋体" w:cs="宋体"/>
          <w:bCs/>
          <w:i w:val="0"/>
          <w:iCs w:val="0"/>
          <w:caps w:val="0"/>
          <w:spacing w:val="0"/>
          <w:kern w:val="2"/>
          <w:sz w:val="21"/>
          <w:szCs w:val="20"/>
        </w:rPr>
        <w:t>监测人员到达建设用地现场后，需首先观察作业区域上方建筑物、构筑物的结构稳定性，重点检查是否存在</w:t>
      </w:r>
      <w:r>
        <w:rPr>
          <w:rStyle w:val="30"/>
          <w:rFonts w:hint="eastAsia" w:ascii="宋体" w:hAnsi="宋体" w:eastAsia="宋体" w:cs="宋体"/>
          <w:b w:val="0"/>
          <w:bCs/>
          <w:i w:val="0"/>
          <w:iCs w:val="0"/>
          <w:caps w:val="0"/>
          <w:spacing w:val="0"/>
          <w:kern w:val="2"/>
          <w:sz w:val="21"/>
          <w:szCs w:val="20"/>
        </w:rPr>
        <w:t>护栏锈蚀断裂、混凝土剥落、悬挂物松动</w:t>
      </w:r>
      <w:r>
        <w:rPr>
          <w:rFonts w:hint="eastAsia" w:ascii="宋体" w:hAnsi="宋体" w:eastAsia="宋体" w:cs="宋体"/>
          <w:bCs/>
          <w:i w:val="0"/>
          <w:iCs w:val="0"/>
          <w:caps w:val="0"/>
          <w:spacing w:val="0"/>
          <w:kern w:val="2"/>
          <w:sz w:val="21"/>
          <w:szCs w:val="20"/>
        </w:rPr>
        <w:t>等隐患</w:t>
      </w:r>
      <w:r>
        <w:rPr>
          <w:rFonts w:hint="eastAsia" w:hAnsi="宋体" w:cs="宋体"/>
          <w:bCs/>
          <w:i w:val="0"/>
          <w:iCs w:val="0"/>
          <w:caps w:val="0"/>
          <w:spacing w:val="0"/>
          <w:kern w:val="2"/>
          <w:sz w:val="21"/>
          <w:szCs w:val="20"/>
          <w:lang w:eastAsia="zh-CN"/>
        </w:rPr>
        <w:t>。</w:t>
      </w:r>
      <w:r>
        <w:rPr>
          <w:rFonts w:hint="eastAsia" w:ascii="宋体" w:hAnsi="宋体" w:eastAsia="宋体" w:cs="宋体"/>
          <w:bCs/>
          <w:i w:val="0"/>
          <w:iCs w:val="0"/>
          <w:caps w:val="0"/>
          <w:spacing w:val="0"/>
          <w:kern w:val="2"/>
          <w:sz w:val="21"/>
          <w:szCs w:val="20"/>
        </w:rPr>
        <w:t>若发现护栏缺失或结构老化严重，需立即标记危险区域并禁止人员靠近。</w:t>
      </w:r>
    </w:p>
    <w:p w14:paraId="2DA49ED2">
      <w:pPr>
        <w:pStyle w:val="166"/>
        <w:numPr>
          <w:ilvl w:val="3"/>
          <w:numId w:val="37"/>
        </w:numPr>
        <w:rPr>
          <w:rFonts w:hint="eastAsia" w:hAnsi="宋体" w:cs="宋体"/>
          <w:bCs/>
          <w:kern w:val="2"/>
        </w:rPr>
      </w:pPr>
      <w:r>
        <w:rPr>
          <w:rFonts w:hint="eastAsia" w:hAnsi="宋体" w:cs="宋体"/>
          <w:bCs/>
          <w:kern w:val="2"/>
          <w:lang w:val="en-US" w:eastAsia="zh-CN"/>
        </w:rPr>
        <w:t xml:space="preserve"> </w:t>
      </w:r>
      <w:r>
        <w:rPr>
          <w:rFonts w:hint="eastAsia" w:hAnsi="宋体" w:cs="宋体"/>
          <w:bCs/>
          <w:kern w:val="2"/>
        </w:rPr>
        <w:t>对松动的悬挂物，需联系场地管理方提前加固或拆除，无法及时处理时，监测人员需调整采样点位，避免在正下方作业。</w:t>
      </w:r>
    </w:p>
    <w:p w14:paraId="06A47E27">
      <w:pPr>
        <w:pStyle w:val="69"/>
        <w:numPr>
          <w:ilvl w:val="2"/>
          <w:numId w:val="37"/>
        </w:numPr>
        <w:spacing w:before="156" w:after="156"/>
        <w:rPr>
          <w:rFonts w:hint="default"/>
        </w:rPr>
      </w:pPr>
      <w:r>
        <w:rPr>
          <w:rFonts w:hint="eastAsia" w:hAnsi="Times New Roman" w:cs="Times New Roman"/>
          <w:bCs w:val="0"/>
          <w:kern w:val="0"/>
          <w:lang w:val="en-US" w:eastAsia="zh-CN"/>
        </w:rPr>
        <w:t>坍塌掩埋</w:t>
      </w:r>
    </w:p>
    <w:p w14:paraId="32857776">
      <w:pPr>
        <w:pStyle w:val="166"/>
        <w:numPr>
          <w:ilvl w:val="3"/>
          <w:numId w:val="37"/>
        </w:numPr>
        <w:rPr>
          <w:rFonts w:hint="eastAsia" w:ascii="Times New Roman" w:hAnsi="Times New Roman" w:eastAsia="宋体" w:cs="Times New Roman"/>
          <w:i w:val="0"/>
          <w:iCs w:val="0"/>
          <w:caps w:val="0"/>
          <w:spacing w:val="0"/>
          <w:sz w:val="21"/>
          <w:szCs w:val="21"/>
        </w:rPr>
      </w:pPr>
      <w:r>
        <w:rPr>
          <w:rFonts w:hint="eastAsia" w:hAnsi="宋体" w:cs="宋体"/>
          <w:bCs/>
          <w:kern w:val="2"/>
        </w:rPr>
        <w:t>在</w:t>
      </w:r>
      <w:r>
        <w:rPr>
          <w:rFonts w:hint="eastAsia" w:hAnsi="宋体" w:cs="宋体"/>
          <w:bCs/>
          <w:kern w:val="2"/>
          <w:lang w:val="en-US" w:eastAsia="zh-CN"/>
        </w:rPr>
        <w:t>堆填区、基坑边等易坍塌区域作业时，</w:t>
      </w:r>
      <w:r>
        <w:rPr>
          <w:rFonts w:hint="eastAsia" w:hAnsi="宋体" w:cs="宋体"/>
          <w:bCs/>
          <w:kern w:val="2"/>
        </w:rPr>
        <w:t>需设置警示隔离带，禁止单人操作，至少</w:t>
      </w:r>
      <w:r>
        <w:rPr>
          <w:rFonts w:hint="eastAsia" w:ascii="Times New Roman" w:hAnsi="Times New Roman" w:eastAsia="宋体" w:cs="Times New Roman"/>
          <w:i w:val="0"/>
          <w:iCs w:val="0"/>
          <w:caps w:val="0"/>
          <w:spacing w:val="0"/>
          <w:sz w:val="21"/>
          <w:szCs w:val="21"/>
        </w:rPr>
        <w:t>2</w:t>
      </w:r>
      <w:r>
        <w:rPr>
          <w:rFonts w:hint="eastAsia" w:hAnsi="宋体" w:cs="宋体"/>
          <w:bCs/>
          <w:kern w:val="2"/>
        </w:rPr>
        <w:t>人在场并明确分工</w:t>
      </w:r>
      <w:r>
        <w:rPr>
          <w:rFonts w:hint="eastAsia" w:ascii="Times New Roman" w:hAnsi="Times New Roman" w:eastAsia="宋体" w:cs="Times New Roman"/>
          <w:i w:val="0"/>
          <w:iCs w:val="0"/>
          <w:caps w:val="0"/>
          <w:spacing w:val="0"/>
          <w:sz w:val="21"/>
          <w:szCs w:val="21"/>
        </w:rPr>
        <w:t>。</w:t>
      </w:r>
    </w:p>
    <w:p w14:paraId="0101FBF7">
      <w:pPr>
        <w:pStyle w:val="166"/>
        <w:numPr>
          <w:ilvl w:val="3"/>
          <w:numId w:val="37"/>
        </w:numPr>
        <w:rPr>
          <w:rFonts w:hint="eastAsia" w:ascii="Times New Roman" w:hAnsi="Times New Roman" w:eastAsia="宋体" w:cs="Times New Roman"/>
          <w:i w:val="0"/>
          <w:iCs w:val="0"/>
          <w:caps w:val="0"/>
          <w:spacing w:val="0"/>
          <w:sz w:val="21"/>
          <w:szCs w:val="21"/>
        </w:rPr>
      </w:pPr>
      <w:r>
        <w:rPr>
          <w:rFonts w:hint="eastAsia" w:ascii="Times New Roman" w:hAnsi="Times New Roman" w:eastAsia="宋体" w:cs="Times New Roman"/>
          <w:i w:val="0"/>
          <w:iCs w:val="0"/>
          <w:caps w:val="0"/>
          <w:spacing w:val="0"/>
          <w:sz w:val="21"/>
          <w:szCs w:val="21"/>
        </w:rPr>
        <w:t>禁止在堆体底部或边坡底部垂直方向作业，采样点与堆体边缘距离应不小于堆高的1.5倍。</w:t>
      </w:r>
    </w:p>
    <w:p w14:paraId="03023D37">
      <w:pPr>
        <w:pStyle w:val="166"/>
        <w:numPr>
          <w:ilvl w:val="3"/>
          <w:numId w:val="37"/>
        </w:numPr>
        <w:rPr>
          <w:rFonts w:hint="default" w:hAnsi="宋体" w:cs="宋体"/>
          <w:bCs/>
          <w:kern w:val="2"/>
          <w:lang w:val="en-US" w:eastAsia="zh-CN"/>
        </w:rPr>
      </w:pPr>
      <w:r>
        <w:rPr>
          <w:rFonts w:hint="eastAsia" w:ascii="Times New Roman" w:hAnsi="Times New Roman" w:eastAsia="宋体" w:cs="Times New Roman"/>
          <w:i w:val="0"/>
          <w:iCs w:val="0"/>
          <w:caps w:val="0"/>
          <w:spacing w:val="0"/>
          <w:sz w:val="21"/>
          <w:szCs w:val="21"/>
          <w:lang w:val="en-US" w:eastAsia="zh-CN"/>
        </w:rPr>
        <w:t>应提前制定逃生路线，遇土体松动、异响等坍塌征兆时，迅速向垂直于边坡的上方撤离。</w:t>
      </w:r>
    </w:p>
    <w:p w14:paraId="2FC3823F">
      <w:pPr>
        <w:pStyle w:val="69"/>
        <w:numPr>
          <w:ilvl w:val="1"/>
          <w:numId w:val="37"/>
        </w:numPr>
        <w:spacing w:before="156" w:after="156"/>
        <w:rPr>
          <w:rFonts w:hint="eastAsia"/>
          <w:lang w:eastAsia="zh-CN"/>
        </w:rPr>
      </w:pPr>
      <w:r>
        <w:rPr>
          <w:rFonts w:hint="eastAsia"/>
          <w:lang w:val="en-US" w:eastAsia="zh-CN"/>
        </w:rPr>
        <w:t>报告与</w:t>
      </w:r>
      <w:r>
        <w:rPr>
          <w:rFonts w:hint="eastAsia"/>
          <w:lang w:eastAsia="zh-CN"/>
        </w:rPr>
        <w:t>记录</w:t>
      </w:r>
    </w:p>
    <w:p w14:paraId="056EBE25">
      <w:pPr>
        <w:pStyle w:val="59"/>
        <w:rPr>
          <w:rFonts w:hint="eastAsia" w:ascii="Times New Roman" w:eastAsia="宋体"/>
          <w:szCs w:val="21"/>
          <w:lang w:eastAsia="zh-CN"/>
        </w:rPr>
      </w:pPr>
      <w:r>
        <w:rPr>
          <w:rFonts w:hint="eastAsia" w:ascii="Times New Roman"/>
          <w:szCs w:val="21"/>
        </w:rPr>
        <w:t>DB42/T</w:t>
      </w:r>
      <w:r>
        <w:rPr>
          <w:rFonts w:hint="eastAsia" w:ascii="Times New Roman"/>
          <w:szCs w:val="21"/>
          <w:lang w:val="en-US" w:eastAsia="zh-CN"/>
        </w:rPr>
        <w:t xml:space="preserve"> XXXX.1</w:t>
      </w:r>
      <w:r>
        <w:rPr>
          <w:rFonts w:hint="eastAsia" w:ascii="Times New Roman"/>
          <w:szCs w:val="21"/>
        </w:rPr>
        <w:t>第</w:t>
      </w:r>
      <w:r>
        <w:rPr>
          <w:rFonts w:hint="eastAsia" w:ascii="Times New Roman"/>
          <w:szCs w:val="21"/>
          <w:lang w:val="en-US" w:eastAsia="zh-CN"/>
        </w:rPr>
        <w:t>12</w:t>
      </w:r>
      <w:r>
        <w:rPr>
          <w:rFonts w:hint="eastAsia" w:ascii="Times New Roman"/>
          <w:szCs w:val="21"/>
        </w:rPr>
        <w:t>部分的内容适用</w:t>
      </w:r>
      <w:r>
        <w:rPr>
          <w:rFonts w:hint="eastAsia" w:ascii="Times New Roman"/>
          <w:szCs w:val="21"/>
          <w:lang w:eastAsia="zh-CN"/>
        </w:rPr>
        <w:t>。</w:t>
      </w:r>
    </w:p>
    <w:p w14:paraId="2C8A88F6">
      <w:pPr>
        <w:pStyle w:val="69"/>
        <w:numPr>
          <w:ilvl w:val="1"/>
          <w:numId w:val="37"/>
        </w:numPr>
        <w:spacing w:before="156" w:after="156"/>
        <w:rPr>
          <w:rFonts w:hint="eastAsia"/>
          <w:lang w:eastAsia="zh-CN"/>
        </w:rPr>
      </w:pPr>
      <w:r>
        <w:rPr>
          <w:rFonts w:hint="eastAsia"/>
          <w:lang w:val="en-US" w:eastAsia="zh-CN"/>
        </w:rPr>
        <w:t>标准实施及评价</w:t>
      </w:r>
    </w:p>
    <w:p w14:paraId="2BF96E02">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.1 结合实际，认真做好标准实施准备，包括标准实施的方案准备、组织准备、知识准备、手段准备和物质条件准备等。</w:t>
      </w:r>
    </w:p>
    <w:p w14:paraId="097B708C">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.2 制订标准实施方案、明确适用对象和场景、提供实施必备条件和保障（组织、制度、资金、人员和设备仪器等）、推荐方法路径，确定资源要素配置、关键环节和控制点，提出标准实施中的注意事项。</w:t>
      </w:r>
    </w:p>
    <w:p w14:paraId="745A6505">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.3 针对重大决策社会稳定风险评估的单位和执行人员进行标准宣贯和培训，结合标准要求，落实责任制，做到横向到边，纵向到底。</w:t>
      </w:r>
    </w:p>
    <w:p w14:paraId="1AAD12B4">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4 标准实施主要在服务管理活动中开展。</w:t>
      </w:r>
    </w:p>
    <w:p w14:paraId="13F233DD">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.5 标准实施的检查主要是检查标准实施方案的落实情况，需要逐条检查标准实施内容的落实，并记录未实施内容的理由或原因。标准实施检查也要检查标准实施的支持手段和物质条件的落实情况。做好标准实施验证记录，畅通标准实施信息采集的方式方法和反馈渠道，定期整理并处理收集到的意见建议。</w:t>
      </w:r>
    </w:p>
    <w:p w14:paraId="00022036">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.6 对标准实施评价的基本依据是《中华人民共和国标准化法》等。</w:t>
      </w:r>
    </w:p>
    <w:p w14:paraId="2EE4BF60">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.7 在标准实施一定时间后，对照标准实施方案，开展标准实施效果评价分析，总结实施经验成效，梳理存在的薄弱环节，标准实施的评价主要评价标准实施的效果，主要从技术进步、质量水平提高、客户满意度、规范秩序、效率提高、节约费用、节省时间、履行社会责任等方面进行有益性评价，同时还要评价标准实施带来的问题，以便为未来改进提供参考。</w:t>
      </w:r>
    </w:p>
    <w:p w14:paraId="114909B5">
      <w:pPr>
        <w:pStyle w:val="59"/>
        <w:ind w:left="0" w:leftChars="0" w:firstLine="0" w:firstLineChars="0"/>
        <w:rPr>
          <w:rFonts w:hint="eastAsia" w:ascii="Times New Roman"/>
          <w:szCs w:val="21"/>
        </w:rPr>
      </w:pPr>
      <w:r>
        <w:rPr>
          <w:rFonts w:hint="eastAsia" w:ascii="Times New Roman"/>
          <w:szCs w:val="21"/>
          <w:lang w:val="en-US" w:eastAsia="zh-CN"/>
        </w:rPr>
        <w:t>13</w:t>
      </w:r>
      <w:r>
        <w:rPr>
          <w:rFonts w:hint="eastAsia" w:ascii="Times New Roman"/>
          <w:szCs w:val="21"/>
        </w:rPr>
        <w:t>.8 适时向专业标准化技术委员会和标准归口管理单位反馈情况，提出标准推广、修改、补充、完善或者废止等意见建议。</w:t>
      </w:r>
    </w:p>
    <w:p w14:paraId="4497603A">
      <w:pPr>
        <w:pStyle w:val="59"/>
        <w:ind w:left="0" w:leftChars="0" w:firstLine="0" w:firstLineChars="0"/>
        <w:rPr>
          <w:rFonts w:hint="eastAsia" w:ascii="Times New Roman" w:eastAsia="宋体"/>
          <w:szCs w:val="21"/>
          <w:lang w:eastAsia="zh-CN"/>
        </w:rPr>
      </w:pPr>
      <w:r>
        <w:rPr>
          <w:rFonts w:hint="eastAsia" w:ascii="Times New Roman"/>
          <w:szCs w:val="21"/>
          <w:lang w:val="en-US" w:eastAsia="zh-CN"/>
        </w:rPr>
        <w:t>13</w:t>
      </w:r>
      <w:r>
        <w:rPr>
          <w:rFonts w:hint="eastAsia" w:ascii="Times New Roman"/>
          <w:szCs w:val="21"/>
        </w:rPr>
        <w:t>.9 标准实施信息及意见反馈表相关示例</w:t>
      </w:r>
      <w:r>
        <w:rPr>
          <w:rFonts w:hint="eastAsia" w:ascii="Times New Roman"/>
          <w:szCs w:val="21"/>
          <w:highlight w:val="none"/>
        </w:rPr>
        <w:t>见附录</w:t>
      </w:r>
      <w:r>
        <w:rPr>
          <w:rFonts w:hint="eastAsia" w:ascii="Times New Roman"/>
          <w:szCs w:val="21"/>
          <w:highlight w:val="none"/>
          <w:lang w:val="en-US" w:eastAsia="zh-CN"/>
        </w:rPr>
        <w:t>A</w:t>
      </w:r>
      <w:r>
        <w:rPr>
          <w:rFonts w:hint="eastAsia" w:ascii="Times New Roman"/>
          <w:szCs w:val="21"/>
          <w:lang w:eastAsia="zh-CN"/>
        </w:rPr>
        <w:t>。</w:t>
      </w:r>
    </w:p>
    <w:p w14:paraId="418D0FB1">
      <w:pPr>
        <w:pStyle w:val="59"/>
        <w:rPr>
          <w:rFonts w:hint="eastAsia"/>
          <w:lang w:eastAsia="zh-CN"/>
        </w:rPr>
      </w:pPr>
    </w:p>
    <w:p w14:paraId="606579CE">
      <w:pPr>
        <w:pStyle w:val="59"/>
        <w:ind w:firstLine="420"/>
      </w:pPr>
    </w:p>
    <w:p w14:paraId="6F9626B4">
      <w:pPr>
        <w:pStyle w:val="59"/>
        <w:ind w:firstLine="420"/>
      </w:pPr>
    </w:p>
    <w:p w14:paraId="11BFD00D">
      <w:pPr>
        <w:pStyle w:val="59"/>
        <w:ind w:firstLine="420"/>
      </w:pPr>
    </w:p>
    <w:p w14:paraId="490FDF94">
      <w:pPr>
        <w:pStyle w:val="59"/>
        <w:ind w:firstLine="420"/>
      </w:pPr>
    </w:p>
    <w:p w14:paraId="7C086E1F">
      <w:pPr>
        <w:pStyle w:val="59"/>
        <w:ind w:firstLine="420"/>
      </w:pPr>
    </w:p>
    <w:p w14:paraId="4E28A926">
      <w:pPr>
        <w:pStyle w:val="59"/>
        <w:ind w:firstLine="420"/>
      </w:pPr>
    </w:p>
    <w:p w14:paraId="4DDF038C">
      <w:pPr>
        <w:pStyle w:val="59"/>
        <w:ind w:firstLine="420"/>
      </w:pPr>
    </w:p>
    <w:p w14:paraId="58F95146">
      <w:pPr>
        <w:pStyle w:val="59"/>
        <w:ind w:firstLine="420"/>
      </w:pPr>
    </w:p>
    <w:p w14:paraId="39C1D59C">
      <w:pPr>
        <w:pStyle w:val="59"/>
        <w:ind w:firstLine="420"/>
      </w:pPr>
    </w:p>
    <w:p w14:paraId="0D57DE4D">
      <w:pPr>
        <w:pStyle w:val="59"/>
        <w:ind w:firstLine="420"/>
      </w:pPr>
    </w:p>
    <w:p w14:paraId="48906FAD">
      <w:pPr>
        <w:pStyle w:val="59"/>
        <w:ind w:firstLine="420"/>
      </w:pPr>
    </w:p>
    <w:p w14:paraId="2C6214F6">
      <w:pPr>
        <w:pStyle w:val="59"/>
        <w:ind w:firstLine="420"/>
      </w:pPr>
    </w:p>
    <w:p w14:paraId="364B2549">
      <w:pPr>
        <w:pStyle w:val="59"/>
        <w:ind w:firstLine="420"/>
      </w:pPr>
    </w:p>
    <w:p w14:paraId="42B7528C">
      <w:pPr>
        <w:pStyle w:val="59"/>
        <w:ind w:firstLine="420"/>
      </w:pPr>
    </w:p>
    <w:p w14:paraId="4AB79397">
      <w:pPr>
        <w:pStyle w:val="59"/>
        <w:ind w:firstLine="420"/>
      </w:pPr>
    </w:p>
    <w:p w14:paraId="59A3BA68">
      <w:pPr>
        <w:pStyle w:val="59"/>
        <w:ind w:firstLine="420"/>
      </w:pPr>
    </w:p>
    <w:p w14:paraId="54A8E690">
      <w:pPr>
        <w:pStyle w:val="59"/>
        <w:ind w:firstLine="420"/>
      </w:pPr>
    </w:p>
    <w:p w14:paraId="2896F9E3">
      <w:pPr>
        <w:pStyle w:val="59"/>
        <w:ind w:firstLine="420"/>
      </w:pPr>
    </w:p>
    <w:p w14:paraId="152BF979">
      <w:pPr>
        <w:pStyle w:val="59"/>
        <w:ind w:firstLine="420"/>
      </w:pPr>
    </w:p>
    <w:bookmarkEnd w:id="24"/>
    <w:p w14:paraId="7B55E18F">
      <w:pPr>
        <w:pStyle w:val="201"/>
      </w:pPr>
      <w:bookmarkStart w:id="53" w:name="BookMark5"/>
    </w:p>
    <w:p w14:paraId="3FF78F12">
      <w:pPr>
        <w:pStyle w:val="202"/>
      </w:pPr>
      <w:r>
        <w:rPr>
          <w:rFonts w:hint="eastAsia" w:ascii="宋体" w:hAnsi="Times New Roman" w:eastAsia="黑体" w:cs="Times New Roman"/>
          <w:vanish/>
          <w:sz w:val="2"/>
          <w:lang w:val="en-US" w:eastAsia="zh-CN" w:bidi="ar-SA"/>
        </w:rPr>
        <w:t>A</w:t>
      </w:r>
    </w:p>
    <w:p w14:paraId="01C731AC">
      <w:pPr>
        <w:pStyle w:val="201"/>
      </w:pPr>
    </w:p>
    <w:p w14:paraId="1C555F11">
      <w:pPr>
        <w:pStyle w:val="202"/>
        <w:numPr>
          <w:ilvl w:val="0"/>
          <w:numId w:val="0"/>
        </w:numPr>
        <w:ind w:left="425"/>
      </w:pPr>
      <w:r>
        <w:rPr>
          <w:rFonts w:hint="eastAsia" w:ascii="宋体" w:hAnsi="Times New Roman" w:eastAsia="黑体" w:cs="Times New Roman"/>
          <w:vanish/>
          <w:sz w:val="2"/>
          <w:lang w:val="en-US" w:eastAsia="zh-CN" w:bidi="ar-SA"/>
        </w:rPr>
        <w:t>B</w:t>
      </w:r>
    </w:p>
    <w:p w14:paraId="3118E833">
      <w:pPr>
        <w:pStyle w:val="80"/>
        <w:spacing w:after="156"/>
        <w:rPr>
          <w:rFonts w:hint="eastAsia"/>
        </w:rPr>
      </w:pPr>
      <w:r>
        <w:br w:type="textWrapping"/>
      </w:r>
      <w:bookmarkStart w:id="54" w:name="_Toc181087366"/>
      <w:r>
        <w:rPr>
          <w:rFonts w:hint="eastAsia"/>
        </w:rPr>
        <w:t>（资料性）</w:t>
      </w:r>
      <w:r>
        <w:br w:type="textWrapping"/>
      </w:r>
      <w:r>
        <w:rPr>
          <w:rFonts w:hint="eastAsia"/>
        </w:rPr>
        <w:t>湖北省地方标准实施信息及意见反馈表</w:t>
      </w:r>
      <w:bookmarkEnd w:id="54"/>
    </w:p>
    <w:p w14:paraId="2A927ABB">
      <w:pPr>
        <w:pStyle w:val="59"/>
        <w:ind w:firstLine="420"/>
      </w:pPr>
      <w:r>
        <w:rPr>
          <w:rFonts w:hint="eastAsia"/>
        </w:rPr>
        <w:t>湖北省地方标准实施信息及意见反馈表如表</w:t>
      </w:r>
      <w:r>
        <w:rPr>
          <w:rFonts w:hint="eastAsia"/>
          <w:lang w:val="en-US" w:eastAsia="zh-CN"/>
        </w:rPr>
        <w:t>A.1</w:t>
      </w:r>
      <w:r>
        <w:rPr>
          <w:rFonts w:hint="eastAsia"/>
        </w:rPr>
        <w:t>所示。</w:t>
      </w:r>
    </w:p>
    <w:p w14:paraId="258950E5">
      <w:pPr>
        <w:pStyle w:val="81"/>
        <w:numPr>
          <w:ilvl w:val="0"/>
          <w:numId w:val="0"/>
        </w:numPr>
        <w:spacing w:before="156" w:after="156"/>
        <w:ind w:left="425" w:hanging="425"/>
      </w:pPr>
      <w:r>
        <w:rPr>
          <w:rFonts w:hint="eastAsia"/>
          <w:lang w:val="en-US" w:eastAsia="zh-CN"/>
        </w:rPr>
        <w:t>表A.1</w:t>
      </w:r>
      <w:r>
        <w:rPr>
          <w:rFonts w:hint="eastAsia"/>
        </w:rPr>
        <w:t>湖北省地方标准实施信息及意见反馈表</w:t>
      </w:r>
    </w:p>
    <w:tbl>
      <w:tblPr>
        <w:tblStyle w:val="283"/>
        <w:tblW w:w="5000"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255"/>
        <w:gridCol w:w="852"/>
        <w:gridCol w:w="351"/>
        <w:gridCol w:w="2271"/>
        <w:gridCol w:w="3221"/>
        <w:gridCol w:w="1434"/>
      </w:tblGrid>
      <w:tr w14:paraId="48101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jc w:val="center"/>
        </w:trPr>
        <w:tc>
          <w:tcPr>
            <w:tcW w:w="1123" w:type="pct"/>
            <w:gridSpan w:val="2"/>
            <w:tcBorders>
              <w:top w:val="single" w:color="auto" w:sz="12" w:space="0"/>
              <w:left w:val="single" w:color="auto" w:sz="12" w:space="0"/>
              <w:bottom w:val="single" w:color="000000" w:sz="2" w:space="0"/>
              <w:right w:val="single" w:color="auto" w:sz="4" w:space="0"/>
            </w:tcBorders>
            <w:vAlign w:val="center"/>
          </w:tcPr>
          <w:p w14:paraId="7919663D">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标准名称及编号</w:t>
            </w:r>
          </w:p>
        </w:tc>
        <w:tc>
          <w:tcPr>
            <w:tcW w:w="3877" w:type="pct"/>
            <w:gridSpan w:val="4"/>
            <w:tcBorders>
              <w:top w:val="single" w:color="auto" w:sz="12" w:space="0"/>
              <w:left w:val="nil"/>
              <w:bottom w:val="single" w:color="000000" w:sz="2" w:space="0"/>
              <w:right w:val="single" w:color="auto" w:sz="12" w:space="0"/>
            </w:tcBorders>
            <w:vAlign w:val="center"/>
          </w:tcPr>
          <w:p w14:paraId="5D28F10E">
            <w:pPr>
              <w:snapToGrid w:val="0"/>
              <w:spacing w:after="0" w:line="240" w:lineRule="auto"/>
              <w:rPr>
                <w:rFonts w:ascii="宋体" w:hAnsi="宋体" w:eastAsia="宋体" w:cs="Arial"/>
                <w:kern w:val="0"/>
                <w:sz w:val="18"/>
                <w:szCs w:val="18"/>
              </w:rPr>
            </w:pPr>
          </w:p>
        </w:tc>
      </w:tr>
      <w:tr w14:paraId="7A21A6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jc w:val="center"/>
        </w:trPr>
        <w:tc>
          <w:tcPr>
            <w:tcW w:w="669" w:type="pct"/>
            <w:vMerge w:val="restart"/>
            <w:tcBorders>
              <w:top w:val="single" w:color="auto" w:sz="12" w:space="0"/>
              <w:left w:val="single" w:color="auto" w:sz="12" w:space="0"/>
              <w:bottom w:val="single" w:color="auto" w:sz="4" w:space="0"/>
              <w:right w:val="single" w:color="auto" w:sz="4" w:space="0"/>
            </w:tcBorders>
            <w:vAlign w:val="center"/>
          </w:tcPr>
          <w:p w14:paraId="536CBDB6">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总体评价</w:t>
            </w:r>
          </w:p>
        </w:tc>
        <w:tc>
          <w:tcPr>
            <w:tcW w:w="641" w:type="pct"/>
            <w:gridSpan w:val="2"/>
            <w:tcBorders>
              <w:top w:val="single" w:color="auto" w:sz="12" w:space="0"/>
              <w:left w:val="nil"/>
              <w:bottom w:val="single" w:color="auto" w:sz="4" w:space="0"/>
              <w:right w:val="single" w:color="auto" w:sz="4" w:space="0"/>
            </w:tcBorders>
            <w:vAlign w:val="center"/>
          </w:tcPr>
          <w:p w14:paraId="0DB05FAC">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适用性</w:t>
            </w:r>
          </w:p>
        </w:tc>
        <w:tc>
          <w:tcPr>
            <w:tcW w:w="2926" w:type="pct"/>
            <w:gridSpan w:val="2"/>
            <w:tcBorders>
              <w:top w:val="single" w:color="auto" w:sz="12" w:space="0"/>
              <w:left w:val="nil"/>
              <w:bottom w:val="single" w:color="auto" w:sz="4" w:space="0"/>
              <w:right w:val="single" w:color="auto" w:sz="4" w:space="0"/>
            </w:tcBorders>
            <w:vAlign w:val="center"/>
          </w:tcPr>
          <w:p w14:paraId="45D4C507">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该标准与当前所在地的产业或社会发展水平是否相匹配？</w:t>
            </w:r>
          </w:p>
        </w:tc>
        <w:tc>
          <w:tcPr>
            <w:tcW w:w="764" w:type="pct"/>
            <w:tcBorders>
              <w:top w:val="single" w:color="auto" w:sz="12" w:space="0"/>
              <w:left w:val="nil"/>
              <w:bottom w:val="single" w:color="auto" w:sz="4" w:space="0"/>
              <w:right w:val="single" w:color="auto" w:sz="12" w:space="0"/>
            </w:tcBorders>
            <w:vAlign w:val="center"/>
          </w:tcPr>
          <w:p w14:paraId="68A6419B">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宋体"/>
                <w:color w:val="000000"/>
                <w:kern w:val="0"/>
                <w:sz w:val="18"/>
                <w:szCs w:val="18"/>
              </w:rPr>
              <w:t xml:space="preserve">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0040B6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jc w:val="center"/>
        </w:trPr>
        <w:tc>
          <w:tcPr>
            <w:tcW w:w="669" w:type="pct"/>
            <w:vMerge w:val="continue"/>
            <w:tcBorders>
              <w:top w:val="single" w:color="auto" w:sz="12" w:space="0"/>
              <w:left w:val="single" w:color="auto" w:sz="12" w:space="0"/>
              <w:bottom w:val="single" w:color="auto" w:sz="4" w:space="0"/>
              <w:right w:val="single" w:color="auto" w:sz="4" w:space="0"/>
            </w:tcBorders>
            <w:vAlign w:val="center"/>
          </w:tcPr>
          <w:p w14:paraId="667516E9">
            <w:pPr>
              <w:widowControl/>
              <w:snapToGrid w:val="0"/>
              <w:spacing w:after="0" w:line="240" w:lineRule="auto"/>
              <w:rPr>
                <w:rFonts w:ascii="宋体" w:hAnsi="宋体" w:eastAsia="宋体"/>
                <w:color w:val="000000"/>
                <w:kern w:val="0"/>
                <w:sz w:val="18"/>
                <w:szCs w:val="18"/>
              </w:rPr>
            </w:pPr>
          </w:p>
        </w:tc>
        <w:tc>
          <w:tcPr>
            <w:tcW w:w="641" w:type="pct"/>
            <w:gridSpan w:val="2"/>
            <w:tcBorders>
              <w:top w:val="single" w:color="auto" w:sz="4" w:space="0"/>
              <w:left w:val="nil"/>
              <w:bottom w:val="single" w:color="auto" w:sz="4" w:space="0"/>
              <w:right w:val="single" w:color="auto" w:sz="4" w:space="0"/>
            </w:tcBorders>
            <w:vAlign w:val="center"/>
          </w:tcPr>
          <w:p w14:paraId="29EA8CFD">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协调性</w:t>
            </w:r>
          </w:p>
        </w:tc>
        <w:tc>
          <w:tcPr>
            <w:tcW w:w="2926" w:type="pct"/>
            <w:gridSpan w:val="2"/>
            <w:tcBorders>
              <w:top w:val="single" w:color="auto" w:sz="4" w:space="0"/>
              <w:left w:val="nil"/>
              <w:bottom w:val="single" w:color="auto" w:sz="4" w:space="0"/>
              <w:right w:val="single" w:color="auto" w:sz="4" w:space="0"/>
            </w:tcBorders>
            <w:vAlign w:val="center"/>
          </w:tcPr>
          <w:p w14:paraId="5D225F6E">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该标准的特色要求与其他强制性标准的主要技术指标、相关法律法规、部门规章或产业政策是否协调？</w:t>
            </w:r>
          </w:p>
        </w:tc>
        <w:tc>
          <w:tcPr>
            <w:tcW w:w="764" w:type="pct"/>
            <w:tcBorders>
              <w:top w:val="single" w:color="auto" w:sz="4" w:space="0"/>
              <w:left w:val="nil"/>
              <w:bottom w:val="single" w:color="auto" w:sz="4" w:space="0"/>
              <w:right w:val="single" w:color="auto" w:sz="12" w:space="0"/>
            </w:tcBorders>
            <w:vAlign w:val="center"/>
          </w:tcPr>
          <w:p w14:paraId="5A65FFD3">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09FCC8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jc w:val="center"/>
        </w:trPr>
        <w:tc>
          <w:tcPr>
            <w:tcW w:w="669" w:type="pct"/>
            <w:vMerge w:val="continue"/>
            <w:tcBorders>
              <w:top w:val="single" w:color="auto" w:sz="12" w:space="0"/>
              <w:left w:val="single" w:color="auto" w:sz="12" w:space="0"/>
              <w:bottom w:val="single" w:color="auto" w:sz="4" w:space="0"/>
              <w:right w:val="single" w:color="auto" w:sz="4" w:space="0"/>
            </w:tcBorders>
            <w:vAlign w:val="center"/>
          </w:tcPr>
          <w:p w14:paraId="06A4E533">
            <w:pPr>
              <w:widowControl/>
              <w:snapToGrid w:val="0"/>
              <w:spacing w:after="0" w:line="240" w:lineRule="auto"/>
              <w:rPr>
                <w:rFonts w:ascii="宋体" w:hAnsi="宋体" w:eastAsia="宋体"/>
                <w:color w:val="000000"/>
                <w:kern w:val="0"/>
                <w:sz w:val="18"/>
                <w:szCs w:val="18"/>
              </w:rPr>
            </w:pPr>
          </w:p>
        </w:tc>
        <w:tc>
          <w:tcPr>
            <w:tcW w:w="641" w:type="pct"/>
            <w:gridSpan w:val="2"/>
            <w:tcBorders>
              <w:top w:val="single" w:color="auto" w:sz="4" w:space="0"/>
              <w:left w:val="nil"/>
              <w:bottom w:val="single" w:color="auto" w:sz="4" w:space="0"/>
              <w:right w:val="single" w:color="auto" w:sz="4" w:space="0"/>
            </w:tcBorders>
            <w:vAlign w:val="center"/>
          </w:tcPr>
          <w:p w14:paraId="63DB7735">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执行情况</w:t>
            </w:r>
          </w:p>
        </w:tc>
        <w:tc>
          <w:tcPr>
            <w:tcW w:w="2926" w:type="pct"/>
            <w:gridSpan w:val="2"/>
            <w:tcBorders>
              <w:top w:val="single" w:color="auto" w:sz="4" w:space="0"/>
              <w:left w:val="nil"/>
              <w:bottom w:val="single" w:color="auto" w:sz="4" w:space="0"/>
              <w:right w:val="single" w:color="auto" w:sz="4" w:space="0"/>
            </w:tcBorders>
            <w:vAlign w:val="center"/>
          </w:tcPr>
          <w:p w14:paraId="5D4EE8E1">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标准执行单位或人员是否按照标准要求组织开展相关工作？</w:t>
            </w:r>
          </w:p>
        </w:tc>
        <w:tc>
          <w:tcPr>
            <w:tcW w:w="764" w:type="pct"/>
            <w:tcBorders>
              <w:top w:val="single" w:color="auto" w:sz="4" w:space="0"/>
              <w:left w:val="nil"/>
              <w:bottom w:val="single" w:color="auto" w:sz="4" w:space="0"/>
              <w:right w:val="single" w:color="auto" w:sz="12" w:space="0"/>
            </w:tcBorders>
            <w:vAlign w:val="center"/>
          </w:tcPr>
          <w:p w14:paraId="55A0B6D4">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34A61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jc w:val="center"/>
        </w:trPr>
        <w:tc>
          <w:tcPr>
            <w:tcW w:w="669" w:type="pct"/>
            <w:vMerge w:val="restart"/>
            <w:tcBorders>
              <w:top w:val="nil"/>
              <w:left w:val="single" w:color="auto" w:sz="12" w:space="0"/>
              <w:bottom w:val="single" w:color="auto" w:sz="4" w:space="0"/>
              <w:right w:val="single" w:color="auto" w:sz="4" w:space="0"/>
            </w:tcBorders>
            <w:vAlign w:val="center"/>
          </w:tcPr>
          <w:p w14:paraId="06430661">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实施信息</w:t>
            </w:r>
          </w:p>
        </w:tc>
        <w:tc>
          <w:tcPr>
            <w:tcW w:w="3567" w:type="pct"/>
            <w:gridSpan w:val="4"/>
            <w:tcBorders>
              <w:top w:val="single" w:color="auto" w:sz="4" w:space="0"/>
              <w:left w:val="nil"/>
              <w:bottom w:val="single" w:color="auto" w:sz="4" w:space="0"/>
              <w:right w:val="single" w:color="auto" w:sz="4" w:space="0"/>
            </w:tcBorders>
            <w:vAlign w:val="center"/>
          </w:tcPr>
          <w:p w14:paraId="2D35A898">
            <w:pPr>
              <w:widowControl/>
              <w:kinsoku w:val="0"/>
              <w:autoSpaceDE w:val="0"/>
              <w:autoSpaceDN w:val="0"/>
              <w:snapToGrid w:val="0"/>
              <w:spacing w:after="0" w:line="240" w:lineRule="auto"/>
              <w:jc w:val="left"/>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标准实施过程中是否存在阻力和障碍？</w:t>
            </w:r>
          </w:p>
        </w:tc>
        <w:tc>
          <w:tcPr>
            <w:tcW w:w="764" w:type="pct"/>
            <w:tcBorders>
              <w:top w:val="single" w:color="auto" w:sz="4" w:space="0"/>
              <w:left w:val="nil"/>
              <w:bottom w:val="single" w:color="auto" w:sz="4" w:space="0"/>
              <w:right w:val="single" w:color="auto" w:sz="12" w:space="0"/>
            </w:tcBorders>
            <w:vAlign w:val="center"/>
          </w:tcPr>
          <w:p w14:paraId="14E44B3C">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是  </w:t>
            </w:r>
            <w:r>
              <w:rPr>
                <w:rFonts w:ascii="宋体" w:hAnsi="宋体" w:eastAsia="Times New Roman"/>
                <w:color w:val="000000"/>
                <w:kern w:val="0"/>
              </w:rPr>
              <w:sym w:font="Wingdings" w:char="00A8"/>
            </w:r>
            <w:r>
              <w:rPr>
                <w:rFonts w:hint="eastAsia" w:ascii="宋体" w:hAnsi="宋体" w:eastAsia="宋体"/>
                <w:color w:val="000000"/>
                <w:kern w:val="0"/>
                <w:sz w:val="18"/>
                <w:szCs w:val="18"/>
              </w:rPr>
              <w:t>否</w:t>
            </w:r>
          </w:p>
        </w:tc>
      </w:tr>
      <w:tr w14:paraId="5C942D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jc w:val="center"/>
        </w:trPr>
        <w:tc>
          <w:tcPr>
            <w:tcW w:w="669" w:type="pct"/>
            <w:vMerge w:val="continue"/>
            <w:tcBorders>
              <w:top w:val="nil"/>
              <w:left w:val="single" w:color="auto" w:sz="12" w:space="0"/>
              <w:bottom w:val="single" w:color="auto" w:sz="4" w:space="0"/>
              <w:right w:val="single" w:color="auto" w:sz="4" w:space="0"/>
            </w:tcBorders>
            <w:vAlign w:val="center"/>
          </w:tcPr>
          <w:p w14:paraId="05E012DD">
            <w:pPr>
              <w:widowControl/>
              <w:snapToGrid w:val="0"/>
              <w:spacing w:after="0" w:line="240" w:lineRule="auto"/>
              <w:jc w:val="center"/>
              <w:rPr>
                <w:rFonts w:ascii="宋体" w:hAnsi="宋体" w:eastAsia="宋体"/>
                <w:color w:val="000000"/>
                <w:kern w:val="0"/>
                <w:sz w:val="18"/>
                <w:szCs w:val="18"/>
              </w:rPr>
            </w:pPr>
          </w:p>
        </w:tc>
        <w:tc>
          <w:tcPr>
            <w:tcW w:w="1851" w:type="pct"/>
            <w:gridSpan w:val="3"/>
            <w:tcBorders>
              <w:top w:val="single" w:color="auto" w:sz="4" w:space="0"/>
              <w:left w:val="nil"/>
              <w:bottom w:val="single" w:color="auto" w:sz="4" w:space="0"/>
              <w:right w:val="single" w:color="auto" w:sz="4" w:space="0"/>
            </w:tcBorders>
            <w:vAlign w:val="center"/>
          </w:tcPr>
          <w:p w14:paraId="6E98BA7D">
            <w:pPr>
              <w:widowControl/>
              <w:kinsoku w:val="0"/>
              <w:autoSpaceDE w:val="0"/>
              <w:autoSpaceDN w:val="0"/>
              <w:snapToGrid w:val="0"/>
              <w:spacing w:after="0" w:line="240" w:lineRule="auto"/>
              <w:jc w:val="left"/>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实施过程中存在的主要问题</w:t>
            </w:r>
          </w:p>
        </w:tc>
        <w:tc>
          <w:tcPr>
            <w:tcW w:w="2480" w:type="pct"/>
            <w:gridSpan w:val="2"/>
            <w:tcBorders>
              <w:top w:val="single" w:color="auto" w:sz="4" w:space="0"/>
              <w:left w:val="nil"/>
              <w:bottom w:val="single" w:color="auto" w:sz="4" w:space="0"/>
              <w:right w:val="single" w:color="auto" w:sz="12" w:space="0"/>
            </w:tcBorders>
            <w:vAlign w:val="center"/>
          </w:tcPr>
          <w:p w14:paraId="3F281AF8">
            <w:pPr>
              <w:snapToGrid w:val="0"/>
              <w:spacing w:after="0" w:line="240" w:lineRule="auto"/>
              <w:rPr>
                <w:rFonts w:ascii="宋体" w:hAnsi="宋体" w:eastAsia="宋体" w:cs="Arial"/>
                <w:kern w:val="0"/>
                <w:sz w:val="18"/>
                <w:szCs w:val="18"/>
              </w:rPr>
            </w:pPr>
          </w:p>
        </w:tc>
      </w:tr>
      <w:tr w14:paraId="573EB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3" w:hRule="atLeast"/>
          <w:jc w:val="center"/>
        </w:trPr>
        <w:tc>
          <w:tcPr>
            <w:tcW w:w="669" w:type="pct"/>
            <w:vMerge w:val="restart"/>
            <w:tcBorders>
              <w:top w:val="nil"/>
              <w:left w:val="single" w:color="auto" w:sz="12" w:space="0"/>
              <w:bottom w:val="single" w:color="auto" w:sz="4" w:space="0"/>
              <w:right w:val="single" w:color="auto" w:sz="4" w:space="0"/>
            </w:tcBorders>
            <w:vAlign w:val="center"/>
          </w:tcPr>
          <w:p w14:paraId="6246FEBB">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修改意见</w:t>
            </w:r>
          </w:p>
        </w:tc>
        <w:tc>
          <w:tcPr>
            <w:tcW w:w="641" w:type="pct"/>
            <w:gridSpan w:val="2"/>
            <w:tcBorders>
              <w:top w:val="single" w:color="auto" w:sz="4" w:space="0"/>
              <w:left w:val="nil"/>
              <w:bottom w:val="single" w:color="auto" w:sz="4" w:space="0"/>
              <w:right w:val="single" w:color="auto" w:sz="4" w:space="0"/>
            </w:tcBorders>
            <w:vAlign w:val="center"/>
          </w:tcPr>
          <w:p w14:paraId="5CC5D74F">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总体意见</w:t>
            </w:r>
          </w:p>
        </w:tc>
        <w:tc>
          <w:tcPr>
            <w:tcW w:w="3691" w:type="pct"/>
            <w:gridSpan w:val="3"/>
            <w:tcBorders>
              <w:top w:val="single" w:color="auto" w:sz="4" w:space="0"/>
              <w:left w:val="nil"/>
              <w:bottom w:val="single" w:color="auto" w:sz="4" w:space="0"/>
              <w:right w:val="single" w:color="auto" w:sz="12" w:space="0"/>
            </w:tcBorders>
            <w:vAlign w:val="center"/>
          </w:tcPr>
          <w:p w14:paraId="7C7A741E">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适用    </w:t>
            </w:r>
            <w:r>
              <w:rPr>
                <w:rFonts w:ascii="宋体" w:hAnsi="宋体" w:eastAsia="Times New Roman"/>
                <w:color w:val="000000"/>
                <w:kern w:val="0"/>
              </w:rPr>
              <w:sym w:font="Wingdings" w:char="00A8"/>
            </w:r>
            <w:r>
              <w:rPr>
                <w:rFonts w:hint="eastAsia" w:ascii="宋体" w:hAnsi="宋体" w:eastAsia="宋体"/>
                <w:color w:val="000000"/>
                <w:kern w:val="0"/>
                <w:sz w:val="18"/>
                <w:szCs w:val="18"/>
              </w:rPr>
              <w:t xml:space="preserve">修改    </w:t>
            </w:r>
            <w:r>
              <w:rPr>
                <w:rFonts w:ascii="宋体" w:hAnsi="宋体" w:eastAsia="Times New Roman"/>
                <w:color w:val="000000"/>
                <w:kern w:val="0"/>
              </w:rPr>
              <w:sym w:font="Wingdings" w:char="00A8"/>
            </w:r>
            <w:r>
              <w:rPr>
                <w:rFonts w:hint="eastAsia" w:ascii="宋体" w:hAnsi="宋体" w:eastAsia="宋体"/>
                <w:color w:val="000000"/>
                <w:kern w:val="0"/>
                <w:sz w:val="18"/>
                <w:szCs w:val="18"/>
              </w:rPr>
              <w:t>废止</w:t>
            </w:r>
          </w:p>
        </w:tc>
      </w:tr>
      <w:tr w14:paraId="35E95A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9" w:hRule="atLeast"/>
          <w:jc w:val="center"/>
        </w:trPr>
        <w:tc>
          <w:tcPr>
            <w:tcW w:w="669" w:type="pct"/>
            <w:vMerge w:val="continue"/>
            <w:tcBorders>
              <w:top w:val="nil"/>
              <w:left w:val="single" w:color="auto" w:sz="12" w:space="0"/>
              <w:bottom w:val="single" w:color="auto" w:sz="4" w:space="0"/>
              <w:right w:val="single" w:color="auto" w:sz="4" w:space="0"/>
            </w:tcBorders>
            <w:vAlign w:val="center"/>
          </w:tcPr>
          <w:p w14:paraId="25AA0206">
            <w:pPr>
              <w:widowControl/>
              <w:snapToGrid w:val="0"/>
              <w:spacing w:after="0" w:line="240" w:lineRule="auto"/>
              <w:jc w:val="center"/>
              <w:rPr>
                <w:rFonts w:ascii="宋体" w:hAnsi="宋体" w:eastAsia="宋体"/>
                <w:color w:val="000000"/>
                <w:kern w:val="0"/>
                <w:sz w:val="18"/>
                <w:szCs w:val="18"/>
              </w:rPr>
            </w:pPr>
          </w:p>
        </w:tc>
        <w:tc>
          <w:tcPr>
            <w:tcW w:w="641" w:type="pct"/>
            <w:gridSpan w:val="2"/>
            <w:tcBorders>
              <w:top w:val="single" w:color="auto" w:sz="4" w:space="0"/>
              <w:left w:val="nil"/>
              <w:bottom w:val="single" w:color="000000" w:sz="2" w:space="0"/>
              <w:right w:val="single" w:color="auto" w:sz="4" w:space="0"/>
            </w:tcBorders>
            <w:vAlign w:val="center"/>
          </w:tcPr>
          <w:p w14:paraId="742E6FE6">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具体修</w:t>
            </w:r>
          </w:p>
          <w:p w14:paraId="45574C16">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改意见</w:t>
            </w:r>
          </w:p>
        </w:tc>
        <w:tc>
          <w:tcPr>
            <w:tcW w:w="3691" w:type="pct"/>
            <w:gridSpan w:val="3"/>
            <w:tcBorders>
              <w:top w:val="single" w:color="auto" w:sz="4" w:space="0"/>
              <w:left w:val="nil"/>
              <w:bottom w:val="single" w:color="000000" w:sz="2" w:space="0"/>
              <w:right w:val="single" w:color="auto" w:sz="12" w:space="0"/>
            </w:tcBorders>
            <w:vAlign w:val="center"/>
          </w:tcPr>
          <w:p w14:paraId="3FBD6C65">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需修改章节：</w:t>
            </w:r>
          </w:p>
          <w:p w14:paraId="4E0A62B9">
            <w:pPr>
              <w:widowControl/>
              <w:kinsoku w:val="0"/>
              <w:autoSpaceDE w:val="0"/>
              <w:autoSpaceDN w:val="0"/>
              <w:snapToGrid w:val="0"/>
              <w:spacing w:after="0" w:line="240" w:lineRule="auto"/>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具体修改意见：</w:t>
            </w:r>
          </w:p>
        </w:tc>
      </w:tr>
      <w:tr w14:paraId="14893E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jc w:val="center"/>
        </w:trPr>
        <w:tc>
          <w:tcPr>
            <w:tcW w:w="669" w:type="pct"/>
            <w:tcBorders>
              <w:top w:val="single" w:color="auto" w:sz="4" w:space="0"/>
              <w:left w:val="single" w:color="auto" w:sz="12" w:space="0"/>
              <w:bottom w:val="single" w:color="auto" w:sz="4" w:space="0"/>
              <w:right w:val="single" w:color="auto" w:sz="4" w:space="0"/>
            </w:tcBorders>
            <w:vAlign w:val="center"/>
          </w:tcPr>
          <w:p w14:paraId="25292FB4">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反馈渠道</w:t>
            </w:r>
          </w:p>
        </w:tc>
        <w:tc>
          <w:tcPr>
            <w:tcW w:w="4331" w:type="pct"/>
            <w:gridSpan w:val="5"/>
            <w:tcBorders>
              <w:top w:val="single" w:color="000000" w:sz="2" w:space="0"/>
              <w:left w:val="nil"/>
              <w:bottom w:val="single" w:color="000000" w:sz="2" w:space="0"/>
              <w:right w:val="single" w:color="auto" w:sz="12" w:space="0"/>
            </w:tcBorders>
            <w:vAlign w:val="center"/>
          </w:tcPr>
          <w:p w14:paraId="2C70A0A2">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标准化行政主管部门</w:t>
            </w:r>
          </w:p>
          <w:p w14:paraId="75B1389E">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省直行业主管部门</w:t>
            </w:r>
          </w:p>
          <w:p w14:paraId="416ED111">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专业标准化技术委员会（工作组）</w:t>
            </w:r>
          </w:p>
          <w:p w14:paraId="79793A05">
            <w:pPr>
              <w:widowControl/>
              <w:kinsoku w:val="0"/>
              <w:autoSpaceDE w:val="0"/>
              <w:autoSpaceDN w:val="0"/>
              <w:snapToGrid w:val="0"/>
              <w:spacing w:after="0" w:line="360" w:lineRule="auto"/>
              <w:textAlignment w:val="baseline"/>
              <w:rPr>
                <w:rFonts w:ascii="宋体" w:hAnsi="宋体" w:eastAsia="宋体"/>
                <w:color w:val="000000"/>
                <w:kern w:val="0"/>
                <w:sz w:val="18"/>
                <w:szCs w:val="18"/>
              </w:rPr>
            </w:pPr>
            <w:r>
              <w:rPr>
                <w:rFonts w:ascii="宋体" w:hAnsi="宋体" w:eastAsia="Times New Roman"/>
                <w:color w:val="000000"/>
                <w:kern w:val="0"/>
              </w:rPr>
              <w:sym w:font="Wingdings" w:char="00A8"/>
            </w:r>
            <w:r>
              <w:rPr>
                <w:rFonts w:hint="eastAsia" w:ascii="宋体" w:hAnsi="宋体" w:eastAsia="宋体"/>
                <w:color w:val="000000"/>
                <w:kern w:val="0"/>
                <w:sz w:val="18"/>
                <w:szCs w:val="18"/>
              </w:rPr>
              <w:t>标准起草组（牵头起草单位）</w:t>
            </w:r>
          </w:p>
        </w:tc>
      </w:tr>
      <w:tr w14:paraId="0763D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4" w:hRule="atLeast"/>
          <w:jc w:val="center"/>
        </w:trPr>
        <w:tc>
          <w:tcPr>
            <w:tcW w:w="669" w:type="pct"/>
            <w:tcBorders>
              <w:top w:val="single" w:color="auto" w:sz="4" w:space="0"/>
              <w:left w:val="single" w:color="auto" w:sz="12" w:space="0"/>
              <w:bottom w:val="single" w:color="auto" w:sz="12" w:space="0"/>
              <w:right w:val="single" w:color="auto" w:sz="4" w:space="0"/>
            </w:tcBorders>
            <w:vAlign w:val="center"/>
          </w:tcPr>
          <w:p w14:paraId="688A3AE5">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反馈人</w:t>
            </w:r>
          </w:p>
        </w:tc>
        <w:tc>
          <w:tcPr>
            <w:tcW w:w="4331" w:type="pct"/>
            <w:gridSpan w:val="5"/>
            <w:tcBorders>
              <w:top w:val="single" w:color="000000" w:sz="2" w:space="0"/>
              <w:left w:val="nil"/>
              <w:bottom w:val="single" w:color="auto" w:sz="12" w:space="0"/>
              <w:right w:val="single" w:color="auto" w:sz="12" w:space="0"/>
            </w:tcBorders>
            <w:vAlign w:val="center"/>
          </w:tcPr>
          <w:p w14:paraId="42E68FA4">
            <w:pPr>
              <w:widowControl/>
              <w:kinsoku w:val="0"/>
              <w:autoSpaceDE w:val="0"/>
              <w:autoSpaceDN w:val="0"/>
              <w:snapToGrid w:val="0"/>
              <w:spacing w:after="0" w:line="240" w:lineRule="auto"/>
              <w:jc w:val="center"/>
              <w:textAlignment w:val="baseline"/>
              <w:rPr>
                <w:rFonts w:ascii="宋体" w:hAnsi="宋体" w:eastAsia="宋体"/>
                <w:color w:val="000000"/>
                <w:kern w:val="0"/>
                <w:sz w:val="18"/>
                <w:szCs w:val="18"/>
              </w:rPr>
            </w:pPr>
            <w:r>
              <w:rPr>
                <w:rFonts w:hint="eastAsia" w:ascii="宋体" w:hAnsi="宋体" w:eastAsia="宋体"/>
                <w:color w:val="000000"/>
                <w:kern w:val="0"/>
                <w:sz w:val="18"/>
                <w:szCs w:val="18"/>
              </w:rPr>
              <w:t xml:space="preserve">姓名：         </w:t>
            </w:r>
            <w:r>
              <w:rPr>
                <w:rFonts w:ascii="宋体" w:hAnsi="宋体" w:eastAsia="宋体"/>
                <w:color w:val="000000"/>
                <w:kern w:val="0"/>
                <w:sz w:val="18"/>
                <w:szCs w:val="18"/>
              </w:rPr>
              <w:t xml:space="preserve">   </w:t>
            </w:r>
            <w:r>
              <w:rPr>
                <w:rFonts w:hint="eastAsia" w:ascii="宋体" w:hAnsi="宋体" w:eastAsia="宋体"/>
                <w:color w:val="000000"/>
                <w:kern w:val="0"/>
                <w:sz w:val="18"/>
                <w:szCs w:val="18"/>
              </w:rPr>
              <w:t xml:space="preserve">  单位：                      联系方式：</w:t>
            </w:r>
          </w:p>
        </w:tc>
      </w:tr>
    </w:tbl>
    <w:p w14:paraId="1EE18A67">
      <w:pPr>
        <w:pStyle w:val="59"/>
        <w:ind w:firstLine="420"/>
      </w:pPr>
      <w:r>
        <w:rPr>
          <w:rFonts w:hint="eastAsia"/>
        </w:rPr>
        <w:t>填表说明：为及时掌握标准实施情况，了解地方标准实施过程中存在的问题，并为标准复审提供科学依据，特制定《湖北省地方标准实施信息及意见反馈表》。可根据实际情况在表格中对应方框打勾，有需要文字说明的反馈意见可在相应位置进行文字描述，也可另附页。</w:t>
      </w:r>
    </w:p>
    <w:bookmarkEnd w:id="53"/>
    <w:p w14:paraId="0AE91ECD">
      <w:pPr>
        <w:pStyle w:val="59"/>
        <w:ind w:firstLine="0" w:firstLineChars="0"/>
        <w:jc w:val="center"/>
        <w:rPr>
          <w:rFonts w:hint="eastAsia"/>
        </w:rPr>
      </w:pPr>
      <w:bookmarkStart w:id="55"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headerReference r:id="rId17" w:type="default"/>
      <w:footerReference r:id="rId19" w:type="default"/>
      <w:headerReference r:id="rId18" w:type="even"/>
      <w:footerReference r:id="rId20"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AC0AB">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C67E1">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47E2B">
    <w:pPr>
      <w:pStyle w:val="55"/>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E9BBB">
    <w:pPr>
      <w:pStyle w:val="5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9E58D">
    <w:pPr>
      <w:pStyle w:val="55"/>
    </w:pPr>
    <w:r>
      <w:fldChar w:fldCharType="begin"/>
    </w:r>
    <w:r>
      <w:instrText xml:space="preserve">PAGE   \* MERGEFORMAT</w:instrText>
    </w:r>
    <w:r>
      <w:fldChar w:fldCharType="separate"/>
    </w:r>
    <w:r>
      <w:rPr>
        <w:lang w:val="zh-CN"/>
      </w:rPr>
      <w:t>III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1D2FB">
    <w:pPr>
      <w:pStyle w:val="54"/>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80EDD">
    <w:pPr>
      <w:pStyle w:val="55"/>
    </w:pPr>
    <w:r>
      <w:fldChar w:fldCharType="begin"/>
    </w:r>
    <w:r>
      <w:instrText xml:space="preserve">PAGE   \* MERGEFORMAT</w:instrText>
    </w:r>
    <w:r>
      <w:fldChar w:fldCharType="separate"/>
    </w:r>
    <w:r>
      <w:rPr>
        <w:lang w:val="zh-CN"/>
      </w:rPr>
      <w:t>11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03503">
    <w:pPr>
      <w:pStyle w:val="54"/>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8ED23">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5B16A">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35393">
    <w:pPr>
      <w:pStyle w:val="65"/>
    </w:pPr>
    <w:r>
      <w:fldChar w:fldCharType="begin"/>
    </w:r>
    <w:r>
      <w:instrText xml:space="preserve"> STYLEREF  标准文件_文件编号  \* MERGEFORMAT </w:instrText>
    </w:r>
    <w:r>
      <w:fldChar w:fldCharType="separate"/>
    </w:r>
    <w:r>
      <w:t>DB42/T XXXX.2—XXXX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05A88">
    <w:pPr>
      <w:pStyle w:val="6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1E8F">
    <w:pPr>
      <w:pStyle w:val="65"/>
    </w:pPr>
    <w:r>
      <w:fldChar w:fldCharType="begin"/>
    </w:r>
    <w:r>
      <w:instrText xml:space="preserve"> STYLEREF  标准文件_文件编号  \* MERGEFORMAT </w:instrText>
    </w:r>
    <w:r>
      <w:fldChar w:fldCharType="separate"/>
    </w:r>
    <w:r>
      <w:t>DB42/T XXXX.2—XXXX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FA14">
    <w:pPr>
      <w:pStyle w:val="66"/>
    </w:pPr>
    <w:r>
      <w:fldChar w:fldCharType="begin"/>
    </w:r>
    <w:r>
      <w:instrText xml:space="preserve"> STYLEREF  标准文件_文件编号 \* MERGEFORMAT </w:instrText>
    </w:r>
    <w:r>
      <w:fldChar w:fldCharType="separate"/>
    </w:r>
    <w:r>
      <w:t>DB42/T XXXX.2—XXXX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40C27">
    <w:pPr>
      <w:pStyle w:val="65"/>
    </w:pPr>
    <w:r>
      <w:fldChar w:fldCharType="begin"/>
    </w:r>
    <w:r>
      <w:instrText xml:space="preserve"> STYLEREF  标准文件_文件编号  \* MERGEFORMAT </w:instrText>
    </w:r>
    <w:r>
      <w:fldChar w:fldCharType="separate"/>
    </w:r>
    <w:r>
      <w:t>DB42/T XXXX.2—XXXX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380FA">
    <w:pPr>
      <w:pStyle w:val="66"/>
    </w:pPr>
    <w:r>
      <w:fldChar w:fldCharType="begin"/>
    </w:r>
    <w:r>
      <w:instrText xml:space="preserve"> STYLEREF  标准文件_文件编号 \* MERGEFORMAT </w:instrText>
    </w:r>
    <w:r>
      <w:fldChar w:fldCharType="separate"/>
    </w:r>
    <w:r>
      <w:t>DB42/T XXXX.2—XXXX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A8F7113"/>
    <w:multiLevelType w:val="multilevel"/>
    <w:tmpl w:val="2A8F7113"/>
    <w:lvl w:ilvl="0" w:tentative="0">
      <w:start w:val="1"/>
      <w:numFmt w:val="upperLetter"/>
      <w:pStyle w:val="257"/>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1">
    <w:nsid w:val="2C5917C3"/>
    <w:multiLevelType w:val="multilevel"/>
    <w:tmpl w:val="2C5917C3"/>
    <w:lvl w:ilvl="0" w:tentative="0">
      <w:start w:val="1"/>
      <w:numFmt w:val="none"/>
      <w:pStyle w:val="136"/>
      <w:lvlText w:val="%1——"/>
      <w:lvlJc w:val="left"/>
      <w:pPr>
        <w:tabs>
          <w:tab w:val="left" w:pos="851"/>
        </w:tabs>
        <w:ind w:left="851" w:hanging="426"/>
      </w:pPr>
      <w:rPr>
        <w:rFonts w:hint="default" w:ascii="Arial" w:hAnsi="Arial" w:eastAsia="宋体" w:cs="Arial"/>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3D37335B"/>
    <w:multiLevelType w:val="multilevel"/>
    <w:tmpl w:val="3D37335B"/>
    <w:lvl w:ilvl="0" w:tentative="0">
      <w:start w:val="1"/>
      <w:numFmt w:val="lowerLetter"/>
      <w:pStyle w:val="25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56"/>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ascii="宋体" w:hAnsi="Times New Roman" w:eastAsia="宋体" w:cs="宋体"/>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4F302902"/>
    <w:multiLevelType w:val="multilevel"/>
    <w:tmpl w:val="4F302902"/>
    <w:lvl w:ilvl="0" w:tentative="0">
      <w:start w:val="1"/>
      <w:numFmt w:val="none"/>
      <w:pStyle w:val="284"/>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0B55DC2"/>
    <w:multiLevelType w:val="multilevel"/>
    <w:tmpl w:val="60B55DC2"/>
    <w:lvl w:ilvl="0" w:tentative="0">
      <w:start w:val="1"/>
      <w:numFmt w:val="upperLetter"/>
      <w:pStyle w:val="258"/>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4">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6">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774FF526"/>
    <w:multiLevelType w:val="multilevel"/>
    <w:tmpl w:val="774FF526"/>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6"/>
      <w:suff w:val="nothing"/>
      <w:lvlText w:val="%1.%2　"/>
      <w:lvlJc w:val="left"/>
      <w:pPr>
        <w:ind w:left="1559"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7"/>
      <w:suff w:val="nothing"/>
      <w:lvlText w:val="%1.%2.%3　"/>
      <w:lvlJc w:val="left"/>
      <w:pPr>
        <w:ind w:left="1276" w:firstLine="0"/>
      </w:pPr>
      <w:rPr>
        <w:rFonts w:hint="default" w:ascii="黑体" w:hAnsi="Times New Roman" w:eastAsia="黑体"/>
        <w:b w:val="0"/>
        <w:i w:val="0"/>
        <w:color w:val="auto"/>
        <w:sz w:val="21"/>
      </w:rPr>
    </w:lvl>
    <w:lvl w:ilvl="3" w:tentative="0">
      <w:start w:val="1"/>
      <w:numFmt w:val="lowerLetter"/>
      <w:suff w:val="space"/>
      <w:lvlText w:val="%4）"/>
      <w:lvlJc w:val="left"/>
      <w:pPr>
        <w:ind w:left="839" w:hanging="397"/>
      </w:pPr>
      <w:rPr>
        <w:rFonts w:hint="default" w:ascii="宋体" w:hAnsi="宋体" w:eastAsia="宋体" w:cs="宋体"/>
      </w:rPr>
    </w:lvl>
    <w:lvl w:ilvl="4" w:tentative="0">
      <w:start w:val="1"/>
      <w:numFmt w:val="decimal"/>
      <w:pStyle w:val="238"/>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31"/>
  </w:num>
  <w:num w:numId="3">
    <w:abstractNumId w:val="5"/>
  </w:num>
  <w:num w:numId="4">
    <w:abstractNumId w:val="27"/>
  </w:num>
  <w:num w:numId="5">
    <w:abstractNumId w:val="21"/>
  </w:num>
  <w:num w:numId="6">
    <w:abstractNumId w:val="15"/>
  </w:num>
  <w:num w:numId="7">
    <w:abstractNumId w:val="8"/>
  </w:num>
  <w:num w:numId="8">
    <w:abstractNumId w:val="3"/>
  </w:num>
  <w:num w:numId="9">
    <w:abstractNumId w:val="9"/>
  </w:num>
  <w:num w:numId="10">
    <w:abstractNumId w:val="19"/>
  </w:num>
  <w:num w:numId="11">
    <w:abstractNumId w:val="29"/>
  </w:num>
  <w:num w:numId="12">
    <w:abstractNumId w:val="12"/>
  </w:num>
  <w:num w:numId="13">
    <w:abstractNumId w:val="14"/>
  </w:num>
  <w:num w:numId="14">
    <w:abstractNumId w:val="7"/>
  </w:num>
  <w:num w:numId="15">
    <w:abstractNumId w:val="22"/>
  </w:num>
  <w:num w:numId="16">
    <w:abstractNumId w:val="25"/>
  </w:num>
  <w:num w:numId="17">
    <w:abstractNumId w:val="20"/>
  </w:num>
  <w:num w:numId="18">
    <w:abstractNumId w:val="33"/>
  </w:num>
  <w:num w:numId="19">
    <w:abstractNumId w:val="17"/>
  </w:num>
  <w:num w:numId="20">
    <w:abstractNumId w:val="1"/>
  </w:num>
  <w:num w:numId="21">
    <w:abstractNumId w:val="11"/>
  </w:num>
  <w:num w:numId="22">
    <w:abstractNumId w:val="34"/>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6"/>
  </w:num>
  <w:num w:numId="30">
    <w:abstractNumId w:val="28"/>
  </w:num>
  <w:num w:numId="31">
    <w:abstractNumId w:val="26"/>
  </w:num>
  <w:num w:numId="32">
    <w:abstractNumId w:val="35"/>
  </w:num>
  <w:num w:numId="33">
    <w:abstractNumId w:val="13"/>
  </w:num>
  <w:num w:numId="34">
    <w:abstractNumId w:val="10"/>
  </w:num>
  <w:num w:numId="35">
    <w:abstractNumId w:val="23"/>
  </w:num>
  <w:num w:numId="36">
    <w:abstractNumId w:val="18"/>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A18"/>
    <w:rsid w:val="00210B15"/>
    <w:rsid w:val="002142EA"/>
    <w:rsid w:val="002200A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670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125"/>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290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1CD4"/>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156A3"/>
    <w:rsid w:val="023A0C1C"/>
    <w:rsid w:val="03876238"/>
    <w:rsid w:val="03E349A4"/>
    <w:rsid w:val="042369F2"/>
    <w:rsid w:val="04EA08A0"/>
    <w:rsid w:val="052469E0"/>
    <w:rsid w:val="056748C2"/>
    <w:rsid w:val="059348E7"/>
    <w:rsid w:val="061A5470"/>
    <w:rsid w:val="063B4719"/>
    <w:rsid w:val="06D01BEE"/>
    <w:rsid w:val="07C16458"/>
    <w:rsid w:val="08A40BE4"/>
    <w:rsid w:val="08D45465"/>
    <w:rsid w:val="093916BA"/>
    <w:rsid w:val="0A004850"/>
    <w:rsid w:val="0A381C03"/>
    <w:rsid w:val="0AB01F68"/>
    <w:rsid w:val="0D0728C9"/>
    <w:rsid w:val="0DED0B57"/>
    <w:rsid w:val="0E3F01EE"/>
    <w:rsid w:val="0F393013"/>
    <w:rsid w:val="0FA84057"/>
    <w:rsid w:val="12E3738C"/>
    <w:rsid w:val="140563AF"/>
    <w:rsid w:val="18BF3AF8"/>
    <w:rsid w:val="18E01FC7"/>
    <w:rsid w:val="19011815"/>
    <w:rsid w:val="19541E13"/>
    <w:rsid w:val="1AC76DF0"/>
    <w:rsid w:val="1BA333BA"/>
    <w:rsid w:val="1D9D2F79"/>
    <w:rsid w:val="1E4D1A3F"/>
    <w:rsid w:val="1E857757"/>
    <w:rsid w:val="1ED2511E"/>
    <w:rsid w:val="1F6C3E55"/>
    <w:rsid w:val="1FE943E8"/>
    <w:rsid w:val="20090683"/>
    <w:rsid w:val="20BB66D6"/>
    <w:rsid w:val="21336F8E"/>
    <w:rsid w:val="217C4685"/>
    <w:rsid w:val="21974C34"/>
    <w:rsid w:val="21E074B7"/>
    <w:rsid w:val="220331A5"/>
    <w:rsid w:val="23A36435"/>
    <w:rsid w:val="24765B0F"/>
    <w:rsid w:val="251C5B24"/>
    <w:rsid w:val="262D1502"/>
    <w:rsid w:val="265005E2"/>
    <w:rsid w:val="26D43AA3"/>
    <w:rsid w:val="271E248E"/>
    <w:rsid w:val="27A4361C"/>
    <w:rsid w:val="28944D64"/>
    <w:rsid w:val="2C332538"/>
    <w:rsid w:val="2C9B2628"/>
    <w:rsid w:val="2D12410D"/>
    <w:rsid w:val="2E45294A"/>
    <w:rsid w:val="2F9D1EC4"/>
    <w:rsid w:val="3062264C"/>
    <w:rsid w:val="3078777A"/>
    <w:rsid w:val="30CB379B"/>
    <w:rsid w:val="32143823"/>
    <w:rsid w:val="34784F8C"/>
    <w:rsid w:val="34983880"/>
    <w:rsid w:val="34FB5BBD"/>
    <w:rsid w:val="35082926"/>
    <w:rsid w:val="355377A7"/>
    <w:rsid w:val="356D55DD"/>
    <w:rsid w:val="37253A50"/>
    <w:rsid w:val="37264C3C"/>
    <w:rsid w:val="375C659B"/>
    <w:rsid w:val="37C13AEB"/>
    <w:rsid w:val="388365F5"/>
    <w:rsid w:val="398B205D"/>
    <w:rsid w:val="39A048F5"/>
    <w:rsid w:val="3ACE467E"/>
    <w:rsid w:val="3BBD1131"/>
    <w:rsid w:val="3BBF7D0F"/>
    <w:rsid w:val="3BE57C21"/>
    <w:rsid w:val="3D7A509A"/>
    <w:rsid w:val="40436D96"/>
    <w:rsid w:val="40972285"/>
    <w:rsid w:val="40B97058"/>
    <w:rsid w:val="40C424F2"/>
    <w:rsid w:val="41161CD8"/>
    <w:rsid w:val="41DB4DAC"/>
    <w:rsid w:val="4243146D"/>
    <w:rsid w:val="42980EEF"/>
    <w:rsid w:val="42D77121"/>
    <w:rsid w:val="46042FDD"/>
    <w:rsid w:val="470161BB"/>
    <w:rsid w:val="47BC323F"/>
    <w:rsid w:val="48E05D32"/>
    <w:rsid w:val="492237E1"/>
    <w:rsid w:val="49234BAC"/>
    <w:rsid w:val="49941E32"/>
    <w:rsid w:val="49CD147E"/>
    <w:rsid w:val="4A3988E9"/>
    <w:rsid w:val="4ABA1D88"/>
    <w:rsid w:val="4AC01CA0"/>
    <w:rsid w:val="4B8A2A0D"/>
    <w:rsid w:val="4CA30966"/>
    <w:rsid w:val="4CC57A90"/>
    <w:rsid w:val="4CDF3A44"/>
    <w:rsid w:val="4DD72440"/>
    <w:rsid w:val="4E3C4E24"/>
    <w:rsid w:val="4E7B2D9C"/>
    <w:rsid w:val="4F2C5BB0"/>
    <w:rsid w:val="510F7335"/>
    <w:rsid w:val="525A20DB"/>
    <w:rsid w:val="54210D44"/>
    <w:rsid w:val="542C32FC"/>
    <w:rsid w:val="543B1230"/>
    <w:rsid w:val="54543154"/>
    <w:rsid w:val="54FDC384"/>
    <w:rsid w:val="552B752B"/>
    <w:rsid w:val="555812F1"/>
    <w:rsid w:val="57193F55"/>
    <w:rsid w:val="5965652A"/>
    <w:rsid w:val="5A0F31E9"/>
    <w:rsid w:val="5A493177"/>
    <w:rsid w:val="5B3300A3"/>
    <w:rsid w:val="5BAA0672"/>
    <w:rsid w:val="5C59243A"/>
    <w:rsid w:val="5D706898"/>
    <w:rsid w:val="5E2A0C80"/>
    <w:rsid w:val="5E853FB6"/>
    <w:rsid w:val="5F906089"/>
    <w:rsid w:val="5FDE6D52"/>
    <w:rsid w:val="6081649E"/>
    <w:rsid w:val="61F274F5"/>
    <w:rsid w:val="622B0FE0"/>
    <w:rsid w:val="62CD5B7E"/>
    <w:rsid w:val="63755744"/>
    <w:rsid w:val="644959AA"/>
    <w:rsid w:val="652D2500"/>
    <w:rsid w:val="663C2528"/>
    <w:rsid w:val="671C1712"/>
    <w:rsid w:val="67BA1FAC"/>
    <w:rsid w:val="6911231D"/>
    <w:rsid w:val="691240E0"/>
    <w:rsid w:val="69255910"/>
    <w:rsid w:val="6ADB28B1"/>
    <w:rsid w:val="6BB35BC8"/>
    <w:rsid w:val="6CE5168F"/>
    <w:rsid w:val="6D2C60EA"/>
    <w:rsid w:val="6DE3283C"/>
    <w:rsid w:val="6E001573"/>
    <w:rsid w:val="71A34BA9"/>
    <w:rsid w:val="720807ED"/>
    <w:rsid w:val="72473A1C"/>
    <w:rsid w:val="72BF19FC"/>
    <w:rsid w:val="741C5549"/>
    <w:rsid w:val="759D6815"/>
    <w:rsid w:val="75F0011F"/>
    <w:rsid w:val="769E5DCD"/>
    <w:rsid w:val="7788095B"/>
    <w:rsid w:val="789A5357"/>
    <w:rsid w:val="7A305927"/>
    <w:rsid w:val="7B1B79EC"/>
    <w:rsid w:val="7B7610C6"/>
    <w:rsid w:val="7D584867"/>
    <w:rsid w:val="7EC253D9"/>
    <w:rsid w:val="7EFF4F0A"/>
    <w:rsid w:val="7F14517E"/>
    <w:rsid w:val="7F4F2AE3"/>
    <w:rsid w:val="7F5F081A"/>
    <w:rsid w:val="7F73429A"/>
    <w:rsid w:val="7F770124"/>
    <w:rsid w:val="7F77A0E5"/>
    <w:rsid w:val="7F9B454B"/>
    <w:rsid w:val="7FEE4110"/>
    <w:rsid w:val="93FDF2E5"/>
    <w:rsid w:val="BFBA73A0"/>
    <w:rsid w:val="BFF94E0A"/>
    <w:rsid w:val="EFD4B348"/>
    <w:rsid w:val="F99E7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99"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1"/>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annotation text"/>
    <w:basedOn w:val="1"/>
    <w:link w:val="240"/>
    <w:qFormat/>
    <w:uiPriority w:val="0"/>
    <w:pPr>
      <w:adjustRightInd/>
      <w:spacing w:after="160" w:line="278" w:lineRule="auto"/>
      <w:jc w:val="left"/>
    </w:pPr>
    <w:rPr>
      <w:rFonts w:asciiTheme="minorHAnsi" w:hAnsiTheme="minorHAnsi" w:eastAsiaTheme="minorEastAsia" w:cstheme="minorBidi"/>
      <w:szCs w:val="24"/>
    </w:rPr>
  </w:style>
  <w:style w:type="paragraph" w:styleId="14">
    <w:name w:val="Body Text"/>
    <w:basedOn w:val="1"/>
    <w:link w:val="90"/>
    <w:qFormat/>
    <w:uiPriority w:val="1"/>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unhideWhenUsed/>
    <w:qFormat/>
    <w:uiPriority w:val="0"/>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1"/>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99"/>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qFormat/>
    <w:uiPriority w:val="0"/>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9"/>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qFormat/>
    <w:uiPriority w:val="0"/>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6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60">
    <w:name w:val="标准文件_段 Char"/>
    <w:link w:val="59"/>
    <w:qFormat/>
    <w:uiPriority w:val="0"/>
    <w:rPr>
      <w:rFonts w:ascii="宋体" w:hAnsi="Times New Roman"/>
      <w:sz w:val="21"/>
    </w:rPr>
  </w:style>
  <w:style w:type="paragraph" w:customStyle="1" w:styleId="61">
    <w:name w:val="标准文件_版本"/>
    <w:basedOn w:val="58"/>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59"/>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59"/>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59"/>
    <w:next w:val="59"/>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59"/>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59"/>
    <w:qFormat/>
    <w:uiPriority w:val="0"/>
    <w:pPr>
      <w:widowControl/>
      <w:numPr>
        <w:ilvl w:val="4"/>
      </w:numPr>
      <w:outlineLvl w:val="3"/>
    </w:pPr>
  </w:style>
  <w:style w:type="character" w:customStyle="1" w:styleId="99">
    <w:name w:val="Subtle Reference"/>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59"/>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59"/>
    <w:qFormat/>
    <w:uiPriority w:val="0"/>
    <w:pPr>
      <w:outlineLvl w:val="4"/>
    </w:pPr>
  </w:style>
  <w:style w:type="paragraph" w:customStyle="1" w:styleId="134">
    <w:name w:val="附录四级无标题条"/>
    <w:basedOn w:val="133"/>
    <w:next w:val="59"/>
    <w:qFormat/>
    <w:uiPriority w:val="0"/>
    <w:pPr>
      <w:outlineLvl w:val="5"/>
    </w:pPr>
  </w:style>
  <w:style w:type="paragraph" w:customStyle="1" w:styleId="135">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59"/>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59"/>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59"/>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59"/>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59"/>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59"/>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59"/>
    <w:qFormat/>
    <w:uiPriority w:val="0"/>
    <w:pPr>
      <w:ind w:firstLine="0" w:firstLineChars="0"/>
      <w:jc w:val="center"/>
    </w:pPr>
    <w:rPr>
      <w:sz w:val="18"/>
    </w:rPr>
  </w:style>
  <w:style w:type="paragraph" w:customStyle="1" w:styleId="183">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59"/>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4"/>
    <w:qFormat/>
    <w:uiPriority w:val="0"/>
    <w:pPr>
      <w:framePr w:w="3997" w:h="471" w:hRule="exact" w:hSpace="0" w:vSpace="181" w:vAnchor="page" w:hAnchor="page" w:x="1419" w:y="14097"/>
    </w:pPr>
  </w:style>
  <w:style w:type="paragraph" w:customStyle="1" w:styleId="197">
    <w:name w:val="其他实施日期"/>
    <w:basedOn w:val="158"/>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60"/>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7"/>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6"/>
    <w:next w:val="59"/>
    <w:qFormat/>
    <w:uiPriority w:val="0"/>
  </w:style>
  <w:style w:type="paragraph" w:customStyle="1" w:styleId="227">
    <w:name w:val="标准文件_术语条二"/>
    <w:basedOn w:val="169"/>
    <w:next w:val="59"/>
    <w:qFormat/>
    <w:uiPriority w:val="0"/>
  </w:style>
  <w:style w:type="paragraph" w:customStyle="1" w:styleId="228">
    <w:name w:val="标准文件_术语条三"/>
    <w:basedOn w:val="168"/>
    <w:next w:val="59"/>
    <w:qFormat/>
    <w:uiPriority w:val="0"/>
  </w:style>
  <w:style w:type="paragraph" w:customStyle="1" w:styleId="229">
    <w:name w:val="标准文件_术语条四"/>
    <w:basedOn w:val="171"/>
    <w:next w:val="59"/>
    <w:qFormat/>
    <w:uiPriority w:val="0"/>
  </w:style>
  <w:style w:type="paragraph" w:customStyle="1" w:styleId="230">
    <w:name w:val="标准文件_术语条五"/>
    <w:basedOn w:val="167"/>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
    <w:link w:val="234"/>
    <w:qFormat/>
    <w:uiPriority w:val="0"/>
    <w:pPr>
      <w:tabs>
        <w:tab w:val="center" w:pos="4201"/>
        <w:tab w:val="right" w:leader="dot" w:pos="9298"/>
      </w:tabs>
      <w:autoSpaceDE w:val="0"/>
      <w:autoSpaceDN w:val="0"/>
      <w:spacing w:after="160" w:line="278" w:lineRule="auto"/>
      <w:ind w:firstLine="420" w:firstLineChars="200"/>
      <w:jc w:val="both"/>
    </w:pPr>
    <w:rPr>
      <w:rFonts w:ascii="宋体" w:hAnsi="Times New Roman" w:eastAsia="宋体" w:cs="Times New Roman"/>
      <w:sz w:val="21"/>
      <w:lang w:val="en-US" w:eastAsia="zh-CN" w:bidi="ar-SA"/>
    </w:rPr>
  </w:style>
  <w:style w:type="character" w:customStyle="1" w:styleId="234">
    <w:name w:val="段 Char"/>
    <w:basedOn w:val="30"/>
    <w:link w:val="233"/>
    <w:qFormat/>
    <w:uiPriority w:val="0"/>
    <w:rPr>
      <w:rFonts w:ascii="宋体" w:hAnsi="Times New Roman"/>
      <w:sz w:val="21"/>
    </w:rPr>
  </w:style>
  <w:style w:type="paragraph" w:customStyle="1" w:styleId="235">
    <w:name w:val="章标题"/>
    <w:next w:val="233"/>
    <w:qFormat/>
    <w:uiPriority w:val="0"/>
    <w:pPr>
      <w:numPr>
        <w:ilvl w:val="0"/>
        <w:numId w:val="32"/>
      </w:numPr>
      <w:spacing w:beforeLines="100" w:after="160" w:afterLines="100" w:line="278" w:lineRule="auto"/>
      <w:jc w:val="both"/>
      <w:outlineLvl w:val="1"/>
    </w:pPr>
    <w:rPr>
      <w:rFonts w:ascii="黑体" w:hAnsi="Times New Roman" w:eastAsia="黑体" w:cs="Times New Roman"/>
      <w:sz w:val="21"/>
      <w:lang w:val="en-US" w:eastAsia="zh-CN" w:bidi="ar-SA"/>
    </w:rPr>
  </w:style>
  <w:style w:type="paragraph" w:customStyle="1" w:styleId="236">
    <w:name w:val="一级条标题"/>
    <w:next w:val="233"/>
    <w:qFormat/>
    <w:uiPriority w:val="0"/>
    <w:pPr>
      <w:numPr>
        <w:ilvl w:val="1"/>
        <w:numId w:val="32"/>
      </w:numPr>
      <w:spacing w:beforeLines="50" w:after="160" w:afterLines="50" w:line="278" w:lineRule="auto"/>
      <w:outlineLvl w:val="2"/>
    </w:pPr>
    <w:rPr>
      <w:rFonts w:ascii="黑体" w:hAnsi="Times New Roman" w:eastAsia="黑体" w:cs="Times New Roman"/>
      <w:sz w:val="21"/>
      <w:szCs w:val="21"/>
      <w:lang w:val="en-US" w:eastAsia="zh-CN" w:bidi="ar-SA"/>
    </w:rPr>
  </w:style>
  <w:style w:type="paragraph" w:customStyle="1" w:styleId="237">
    <w:name w:val="二级条标题"/>
    <w:basedOn w:val="236"/>
    <w:next w:val="233"/>
    <w:qFormat/>
    <w:uiPriority w:val="0"/>
    <w:pPr>
      <w:numPr>
        <w:ilvl w:val="2"/>
      </w:numPr>
      <w:spacing w:before="50" w:after="50"/>
      <w:ind w:left="0"/>
      <w:outlineLvl w:val="3"/>
    </w:pPr>
  </w:style>
  <w:style w:type="paragraph" w:customStyle="1" w:styleId="238">
    <w:name w:val="四级条标题"/>
    <w:basedOn w:val="1"/>
    <w:next w:val="233"/>
    <w:qFormat/>
    <w:uiPriority w:val="0"/>
    <w:pPr>
      <w:widowControl/>
      <w:numPr>
        <w:ilvl w:val="4"/>
        <w:numId w:val="32"/>
      </w:numPr>
      <w:adjustRightInd/>
      <w:spacing w:before="50" w:beforeLines="50" w:after="50" w:afterLines="50" w:line="278" w:lineRule="auto"/>
      <w:jc w:val="left"/>
      <w:outlineLvl w:val="5"/>
    </w:pPr>
    <w:rPr>
      <w:rFonts w:ascii="黑体" w:hAnsi="Times New Roman" w:eastAsia="黑体"/>
      <w:kern w:val="0"/>
    </w:rPr>
  </w:style>
  <w:style w:type="paragraph" w:styleId="239">
    <w:name w:val="List Paragraph"/>
    <w:basedOn w:val="1"/>
    <w:unhideWhenUsed/>
    <w:qFormat/>
    <w:uiPriority w:val="99"/>
    <w:pPr>
      <w:adjustRightInd/>
      <w:spacing w:after="160" w:line="278" w:lineRule="auto"/>
      <w:ind w:firstLine="420" w:firstLineChars="200"/>
    </w:pPr>
    <w:rPr>
      <w:rFonts w:asciiTheme="minorHAnsi" w:hAnsiTheme="minorHAnsi" w:eastAsiaTheme="minorEastAsia" w:cstheme="minorBidi"/>
      <w:szCs w:val="24"/>
    </w:rPr>
  </w:style>
  <w:style w:type="character" w:customStyle="1" w:styleId="240">
    <w:name w:val="批注文字 字符"/>
    <w:basedOn w:val="30"/>
    <w:link w:val="13"/>
    <w:qFormat/>
    <w:uiPriority w:val="0"/>
    <w:rPr>
      <w:rFonts w:asciiTheme="minorHAnsi" w:hAnsiTheme="minorHAnsi" w:eastAsiaTheme="minorEastAsia" w:cstheme="minorBidi"/>
      <w:kern w:val="2"/>
      <w:sz w:val="21"/>
      <w:szCs w:val="24"/>
    </w:rPr>
  </w:style>
  <w:style w:type="character" w:customStyle="1" w:styleId="241">
    <w:name w:val="批注主题 字符"/>
    <w:basedOn w:val="240"/>
    <w:link w:val="27"/>
    <w:qFormat/>
    <w:uiPriority w:val="0"/>
    <w:rPr>
      <w:rFonts w:asciiTheme="minorHAnsi" w:hAnsiTheme="minorHAnsi" w:eastAsiaTheme="minorEastAsia" w:cstheme="minorBidi"/>
      <w:b/>
      <w:bCs/>
      <w:kern w:val="2"/>
      <w:sz w:val="21"/>
      <w:szCs w:val="24"/>
    </w:rPr>
  </w:style>
  <w:style w:type="paragraph" w:customStyle="1" w:styleId="242">
    <w:name w:val="BodyText1I2"/>
    <w:basedOn w:val="243"/>
    <w:qFormat/>
    <w:uiPriority w:val="0"/>
    <w:pPr>
      <w:ind w:firstLine="420" w:firstLineChars="200"/>
    </w:pPr>
    <w:rPr>
      <w:rFonts w:ascii="仿宋_GB2312"/>
    </w:rPr>
  </w:style>
  <w:style w:type="paragraph" w:customStyle="1" w:styleId="243">
    <w:name w:val="BodyTextIndent"/>
    <w:basedOn w:val="1"/>
    <w:qFormat/>
    <w:uiPriority w:val="0"/>
    <w:pPr>
      <w:adjustRightInd/>
      <w:spacing w:after="160" w:line="278" w:lineRule="auto"/>
      <w:ind w:firstLine="645"/>
      <w:textAlignment w:val="baseline"/>
    </w:pPr>
    <w:rPr>
      <w:rFonts w:asciiTheme="minorHAnsi" w:hAnsiTheme="minorHAnsi" w:eastAsiaTheme="minorEastAsia" w:cstheme="minorBidi"/>
      <w:szCs w:val="24"/>
    </w:rPr>
  </w:style>
  <w:style w:type="paragraph" w:customStyle="1" w:styleId="244">
    <w:name w:val="Table Paragraph"/>
    <w:basedOn w:val="1"/>
    <w:qFormat/>
    <w:uiPriority w:val="1"/>
    <w:pPr>
      <w:adjustRightInd/>
      <w:spacing w:after="160" w:line="278" w:lineRule="auto"/>
      <w:jc w:val="left"/>
    </w:pPr>
    <w:rPr>
      <w:kern w:val="0"/>
      <w:sz w:val="22"/>
      <w:szCs w:val="24"/>
      <w:lang w:eastAsia="en-US"/>
    </w:rPr>
  </w:style>
  <w:style w:type="paragraph" w:customStyle="1" w:styleId="245">
    <w:name w:val="列出段落2"/>
    <w:basedOn w:val="1"/>
    <w:link w:val="246"/>
    <w:unhideWhenUsed/>
    <w:qFormat/>
    <w:uiPriority w:val="99"/>
    <w:pPr>
      <w:adjustRightInd/>
      <w:spacing w:after="160" w:line="278" w:lineRule="auto"/>
      <w:ind w:firstLine="420" w:firstLineChars="200"/>
    </w:pPr>
    <w:rPr>
      <w:rFonts w:asciiTheme="minorHAnsi" w:hAnsiTheme="minorHAnsi" w:eastAsiaTheme="minorEastAsia" w:cstheme="minorBidi"/>
      <w:szCs w:val="24"/>
    </w:rPr>
  </w:style>
  <w:style w:type="character" w:customStyle="1" w:styleId="246">
    <w:name w:val="List Paragraph Char"/>
    <w:link w:val="245"/>
    <w:qFormat/>
    <w:uiPriority w:val="99"/>
    <w:rPr>
      <w:rFonts w:asciiTheme="minorHAnsi" w:hAnsiTheme="minorHAnsi" w:eastAsiaTheme="minorEastAsia" w:cstheme="minorBidi"/>
      <w:kern w:val="2"/>
      <w:sz w:val="21"/>
      <w:szCs w:val="24"/>
    </w:rPr>
  </w:style>
  <w:style w:type="paragraph" w:customStyle="1" w:styleId="247">
    <w:name w:val="无间隔1"/>
    <w:qFormat/>
    <w:uiPriority w:val="1"/>
    <w:pPr>
      <w:widowControl w:val="0"/>
      <w:spacing w:after="160" w:line="278" w:lineRule="auto"/>
      <w:jc w:val="both"/>
    </w:pPr>
    <w:rPr>
      <w:rFonts w:ascii="宋体" w:hAnsi="Wingdings" w:eastAsia="宋体" w:cs="Times New Roman"/>
      <w:kern w:val="2"/>
      <w:sz w:val="28"/>
      <w:szCs w:val="19"/>
      <w:lang w:val="en-US" w:eastAsia="zh-CN" w:bidi="ar-SA"/>
    </w:rPr>
  </w:style>
  <w:style w:type="paragraph" w:customStyle="1" w:styleId="248">
    <w:name w:val="其他标准标志"/>
    <w:basedOn w:val="52"/>
    <w:qFormat/>
    <w:uiPriority w:val="0"/>
    <w:pPr>
      <w:framePr w:w="6101" w:h="1389" w:hRule="exact" w:hSpace="181" w:vSpace="181" w:vAnchor="page" w:hAnchor="page" w:x="4673" w:y="942"/>
      <w:spacing w:after="160"/>
    </w:pPr>
    <w:rPr>
      <w:szCs w:val="96"/>
    </w:rPr>
  </w:style>
  <w:style w:type="paragraph" w:customStyle="1" w:styleId="249">
    <w:name w:val="封面标准号2"/>
    <w:qFormat/>
    <w:uiPriority w:val="0"/>
    <w:pPr>
      <w:framePr w:w="9140" w:h="1242" w:hRule="exact" w:hSpace="284" w:wrap="around" w:vAnchor="page" w:hAnchor="page" w:x="1645" w:y="2910" w:anchorLock="1"/>
      <w:spacing w:before="357" w:after="160" w:line="280" w:lineRule="exact"/>
      <w:jc w:val="right"/>
    </w:pPr>
    <w:rPr>
      <w:rFonts w:ascii="黑体" w:hAnsi="Times New Roman" w:eastAsia="黑体" w:cs="Times New Roman"/>
      <w:sz w:val="28"/>
      <w:szCs w:val="28"/>
      <w:lang w:val="en-US" w:eastAsia="zh-CN" w:bidi="ar-SA"/>
    </w:rPr>
  </w:style>
  <w:style w:type="paragraph" w:customStyle="1" w:styleId="250">
    <w:name w:val="目次、标准名称标题"/>
    <w:basedOn w:val="1"/>
    <w:next w:val="233"/>
    <w:qFormat/>
    <w:uiPriority w:val="0"/>
    <w:pPr>
      <w:keepNext/>
      <w:pageBreakBefore/>
      <w:widowControl/>
      <w:shd w:val="clear" w:color="FFFFFF" w:fill="FFFFFF"/>
      <w:adjustRightInd/>
      <w:spacing w:before="640" w:after="560" w:line="460" w:lineRule="exact"/>
      <w:jc w:val="center"/>
      <w:outlineLvl w:val="0"/>
    </w:pPr>
    <w:rPr>
      <w:rFonts w:ascii="黑体" w:eastAsia="黑体" w:hAnsiTheme="minorHAnsi" w:cstheme="minorBidi"/>
      <w:kern w:val="0"/>
      <w:sz w:val="32"/>
      <w:szCs w:val="20"/>
    </w:rPr>
  </w:style>
  <w:style w:type="paragraph" w:customStyle="1" w:styleId="251">
    <w:name w:val="前言、引言标题"/>
    <w:next w:val="233"/>
    <w:qFormat/>
    <w:uiPriority w:val="0"/>
    <w:pPr>
      <w:keepNext/>
      <w:pageBreakBefore/>
      <w:shd w:val="clear" w:color="FFFFFF" w:fill="FFFFFF"/>
      <w:spacing w:before="640" w:after="560" w:line="278" w:lineRule="auto"/>
      <w:jc w:val="center"/>
      <w:outlineLvl w:val="0"/>
    </w:pPr>
    <w:rPr>
      <w:rFonts w:ascii="黑体" w:hAnsi="Times New Roman" w:eastAsia="黑体" w:cs="Times New Roman"/>
      <w:sz w:val="32"/>
      <w:lang w:val="en-US" w:eastAsia="zh-CN" w:bidi="ar-SA"/>
    </w:rPr>
  </w:style>
  <w:style w:type="paragraph" w:customStyle="1" w:styleId="252">
    <w:name w:val="三级条标题"/>
    <w:basedOn w:val="237"/>
    <w:next w:val="233"/>
    <w:qFormat/>
    <w:uiPriority w:val="0"/>
    <w:pPr>
      <w:numPr>
        <w:ilvl w:val="0"/>
        <w:numId w:val="0"/>
      </w:numPr>
      <w:outlineLvl w:val="4"/>
    </w:pPr>
  </w:style>
  <w:style w:type="paragraph" w:customStyle="1" w:styleId="253">
    <w:name w:val="字母编号列项（一级）"/>
    <w:qFormat/>
    <w:uiPriority w:val="0"/>
    <w:pPr>
      <w:numPr>
        <w:ilvl w:val="0"/>
        <w:numId w:val="33"/>
      </w:numPr>
      <w:spacing w:after="160" w:line="278" w:lineRule="auto"/>
      <w:jc w:val="both"/>
    </w:pPr>
    <w:rPr>
      <w:rFonts w:ascii="宋体" w:hAnsi="Times New Roman" w:eastAsia="宋体" w:cs="Times New Roman"/>
      <w:sz w:val="21"/>
      <w:lang w:val="en-US" w:eastAsia="zh-CN" w:bidi="ar-SA"/>
    </w:rPr>
  </w:style>
  <w:style w:type="paragraph" w:customStyle="1" w:styleId="254">
    <w:name w:val="列项——（一级）"/>
    <w:qFormat/>
    <w:uiPriority w:val="0"/>
    <w:pPr>
      <w:widowControl w:val="0"/>
      <w:spacing w:after="160" w:line="278" w:lineRule="auto"/>
      <w:ind w:left="833" w:hanging="408"/>
      <w:jc w:val="both"/>
    </w:pPr>
    <w:rPr>
      <w:rFonts w:ascii="宋体" w:hAnsi="Times New Roman" w:eastAsia="宋体" w:cs="Times New Roman"/>
      <w:sz w:val="21"/>
      <w:lang w:val="en-US" w:eastAsia="zh-CN" w:bidi="ar-SA"/>
    </w:rPr>
  </w:style>
  <w:style w:type="paragraph" w:customStyle="1" w:styleId="255">
    <w:name w:val="列项●（二级）"/>
    <w:qFormat/>
    <w:uiPriority w:val="0"/>
    <w:pPr>
      <w:tabs>
        <w:tab w:val="left" w:pos="618"/>
        <w:tab w:val="left" w:pos="840"/>
      </w:tabs>
      <w:spacing w:after="160" w:line="278" w:lineRule="auto"/>
      <w:ind w:left="1122" w:hanging="413"/>
      <w:jc w:val="both"/>
    </w:pPr>
    <w:rPr>
      <w:rFonts w:ascii="宋体" w:hAnsi="Times New Roman" w:eastAsia="宋体" w:cs="Times New Roman"/>
      <w:sz w:val="21"/>
      <w:lang w:val="en-US" w:eastAsia="zh-CN" w:bidi="ar-SA"/>
    </w:rPr>
  </w:style>
  <w:style w:type="paragraph" w:customStyle="1" w:styleId="256">
    <w:name w:val="数字编号列项（二级）"/>
    <w:qFormat/>
    <w:uiPriority w:val="0"/>
    <w:pPr>
      <w:numPr>
        <w:ilvl w:val="1"/>
        <w:numId w:val="33"/>
      </w:numPr>
      <w:spacing w:after="160" w:line="278" w:lineRule="auto"/>
      <w:jc w:val="both"/>
    </w:pPr>
    <w:rPr>
      <w:rFonts w:ascii="宋体" w:hAnsi="Times New Roman" w:eastAsia="宋体" w:cs="Times New Roman"/>
      <w:sz w:val="21"/>
      <w:lang w:val="en-US" w:eastAsia="zh-CN" w:bidi="ar-SA"/>
    </w:rPr>
  </w:style>
  <w:style w:type="paragraph" w:customStyle="1" w:styleId="257">
    <w:name w:val="附录图标号"/>
    <w:basedOn w:val="1"/>
    <w:qFormat/>
    <w:uiPriority w:val="0"/>
    <w:pPr>
      <w:keepNext/>
      <w:pageBreakBefore/>
      <w:widowControl/>
      <w:numPr>
        <w:ilvl w:val="0"/>
        <w:numId w:val="34"/>
      </w:numPr>
      <w:adjustRightInd/>
      <w:spacing w:after="160" w:line="14" w:lineRule="exact"/>
      <w:ind w:left="0" w:firstLine="363"/>
      <w:jc w:val="center"/>
      <w:outlineLvl w:val="0"/>
    </w:pPr>
    <w:rPr>
      <w:rFonts w:asciiTheme="minorHAnsi" w:hAnsiTheme="minorHAnsi" w:eastAsiaTheme="minorEastAsia" w:cstheme="minorBidi"/>
      <w:color w:val="FFFFFF"/>
      <w:szCs w:val="24"/>
    </w:rPr>
  </w:style>
  <w:style w:type="paragraph" w:customStyle="1" w:styleId="258">
    <w:name w:val="附录表标号"/>
    <w:basedOn w:val="1"/>
    <w:next w:val="233"/>
    <w:qFormat/>
    <w:uiPriority w:val="0"/>
    <w:pPr>
      <w:numPr>
        <w:ilvl w:val="0"/>
        <w:numId w:val="35"/>
      </w:numPr>
      <w:tabs>
        <w:tab w:val="clear" w:pos="0"/>
      </w:tabs>
      <w:adjustRightInd/>
      <w:spacing w:after="160" w:line="14" w:lineRule="exact"/>
      <w:ind w:left="811" w:hanging="448"/>
      <w:jc w:val="center"/>
      <w:outlineLvl w:val="0"/>
    </w:pPr>
    <w:rPr>
      <w:rFonts w:asciiTheme="minorHAnsi" w:hAnsiTheme="minorHAnsi" w:eastAsiaTheme="minorEastAsia" w:cstheme="minorBidi"/>
      <w:color w:val="FFFFFF"/>
      <w:szCs w:val="24"/>
    </w:rPr>
  </w:style>
  <w:style w:type="paragraph" w:customStyle="1" w:styleId="259">
    <w:name w:val="附录标识"/>
    <w:basedOn w:val="1"/>
    <w:next w:val="233"/>
    <w:qFormat/>
    <w:uiPriority w:val="0"/>
    <w:pPr>
      <w:keepNext/>
      <w:widowControl/>
      <w:shd w:val="clear" w:color="FFFFFF" w:fill="FFFFFF"/>
      <w:tabs>
        <w:tab w:val="left" w:pos="6405"/>
      </w:tabs>
      <w:adjustRightInd/>
      <w:spacing w:before="640" w:after="280" w:line="278" w:lineRule="auto"/>
      <w:jc w:val="center"/>
      <w:outlineLvl w:val="0"/>
    </w:pPr>
    <w:rPr>
      <w:rFonts w:ascii="黑体" w:eastAsia="黑体" w:hAnsiTheme="minorHAnsi" w:cstheme="minorBidi"/>
      <w:kern w:val="0"/>
      <w:szCs w:val="20"/>
    </w:rPr>
  </w:style>
  <w:style w:type="paragraph" w:customStyle="1" w:styleId="260">
    <w:name w:val="表格文字"/>
    <w:basedOn w:val="1"/>
    <w:qFormat/>
    <w:uiPriority w:val="0"/>
    <w:pPr>
      <w:adjustRightInd/>
      <w:snapToGrid w:val="0"/>
      <w:spacing w:after="160" w:line="360" w:lineRule="exact"/>
      <w:jc w:val="center"/>
    </w:pPr>
    <w:rPr>
      <w:rFonts w:asciiTheme="minorHAnsi" w:hAnsiTheme="minorHAnsi" w:eastAsiaTheme="minorEastAsia" w:cstheme="minorBidi"/>
      <w:sz w:val="18"/>
      <w:szCs w:val="28"/>
    </w:rPr>
  </w:style>
  <w:style w:type="paragraph" w:customStyle="1" w:styleId="261">
    <w:name w:val="图表题"/>
    <w:basedOn w:val="1"/>
    <w:qFormat/>
    <w:uiPriority w:val="0"/>
    <w:pPr>
      <w:adjustRightInd/>
      <w:snapToGrid w:val="0"/>
      <w:spacing w:beforeLines="50" w:after="160" w:afterLines="50" w:line="278" w:lineRule="auto"/>
      <w:jc w:val="center"/>
    </w:pPr>
    <w:rPr>
      <w:rFonts w:eastAsia="黑体" w:asciiTheme="minorHAnsi" w:hAnsiTheme="minorHAnsi" w:cstheme="minorBidi"/>
      <w:szCs w:val="28"/>
    </w:rPr>
  </w:style>
  <w:style w:type="paragraph" w:customStyle="1" w:styleId="262">
    <w:name w:val="附录章标题"/>
    <w:next w:val="233"/>
    <w:qFormat/>
    <w:uiPriority w:val="0"/>
    <w:pPr>
      <w:tabs>
        <w:tab w:val="left" w:pos="360"/>
      </w:tabs>
      <w:wordWrap w:val="0"/>
      <w:overflowPunct w:val="0"/>
      <w:autoSpaceDE w:val="0"/>
      <w:spacing w:beforeLines="100" w:after="160" w:afterLines="10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263">
    <w:name w:val="附录一级条标题"/>
    <w:basedOn w:val="262"/>
    <w:next w:val="233"/>
    <w:qFormat/>
    <w:uiPriority w:val="0"/>
    <w:pPr>
      <w:autoSpaceDN w:val="0"/>
      <w:spacing w:beforeLines="50" w:afterLines="50"/>
      <w:outlineLvl w:val="2"/>
    </w:pPr>
  </w:style>
  <w:style w:type="paragraph" w:customStyle="1" w:styleId="264">
    <w:name w:val="终结线"/>
    <w:basedOn w:val="1"/>
    <w:qFormat/>
    <w:uiPriority w:val="0"/>
    <w:pPr>
      <w:framePr w:hSpace="181" w:vSpace="181" w:wrap="around" w:vAnchor="text" w:hAnchor="margin" w:xAlign="center" w:y="285"/>
      <w:adjustRightInd/>
      <w:spacing w:after="160" w:line="278" w:lineRule="auto"/>
    </w:pPr>
    <w:rPr>
      <w:rFonts w:asciiTheme="minorHAnsi" w:hAnsiTheme="minorHAnsi" w:eastAsiaTheme="minorEastAsia" w:cstheme="minorBidi"/>
      <w:szCs w:val="24"/>
    </w:rPr>
  </w:style>
  <w:style w:type="paragraph" w:customStyle="1" w:styleId="265">
    <w:name w:val="标准书眉_奇数页"/>
    <w:next w:val="1"/>
    <w:qFormat/>
    <w:uiPriority w:val="0"/>
    <w:pPr>
      <w:tabs>
        <w:tab w:val="center" w:pos="4154"/>
        <w:tab w:val="right" w:pos="8306"/>
      </w:tabs>
      <w:spacing w:after="220" w:line="278" w:lineRule="auto"/>
      <w:jc w:val="right"/>
    </w:pPr>
    <w:rPr>
      <w:rFonts w:ascii="黑体" w:hAnsi="Times New Roman" w:eastAsia="黑体" w:cs="Times New Roman"/>
      <w:sz w:val="21"/>
      <w:szCs w:val="21"/>
      <w:lang w:val="en-US" w:eastAsia="zh-CN" w:bidi="ar-SA"/>
    </w:rPr>
  </w:style>
  <w:style w:type="paragraph" w:customStyle="1" w:styleId="266">
    <w:name w:val="标准书脚_奇数页"/>
    <w:qFormat/>
    <w:uiPriority w:val="0"/>
    <w:pPr>
      <w:spacing w:before="120" w:after="160" w:line="278" w:lineRule="auto"/>
      <w:ind w:right="198"/>
      <w:jc w:val="right"/>
    </w:pPr>
    <w:rPr>
      <w:rFonts w:ascii="宋体" w:hAnsi="Times New Roman" w:eastAsia="宋体" w:cs="Times New Roman"/>
      <w:sz w:val="18"/>
      <w:szCs w:val="18"/>
      <w:lang w:val="en-US" w:eastAsia="zh-CN" w:bidi="ar-SA"/>
    </w:rPr>
  </w:style>
  <w:style w:type="paragraph" w:customStyle="1" w:styleId="267">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68">
    <w:name w:val="五级条标题"/>
    <w:basedOn w:val="238"/>
    <w:next w:val="233"/>
    <w:qFormat/>
    <w:uiPriority w:val="0"/>
    <w:pPr>
      <w:numPr>
        <w:ilvl w:val="0"/>
        <w:numId w:val="0"/>
      </w:numPr>
      <w:outlineLvl w:val="6"/>
    </w:pPr>
  </w:style>
  <w:style w:type="paragraph" w:customStyle="1" w:styleId="269">
    <w:name w:val="附录二级条标题"/>
    <w:basedOn w:val="1"/>
    <w:next w:val="233"/>
    <w:qFormat/>
    <w:uiPriority w:val="0"/>
    <w:pPr>
      <w:widowControl/>
      <w:tabs>
        <w:tab w:val="left" w:pos="360"/>
      </w:tabs>
      <w:wordWrap w:val="0"/>
      <w:overflowPunct w:val="0"/>
      <w:autoSpaceDE w:val="0"/>
      <w:autoSpaceDN w:val="0"/>
      <w:adjustRightInd/>
      <w:spacing w:beforeLines="50" w:after="160" w:afterLines="50" w:line="278" w:lineRule="auto"/>
      <w:textAlignment w:val="baseline"/>
      <w:outlineLvl w:val="3"/>
    </w:pPr>
    <w:rPr>
      <w:rFonts w:ascii="黑体" w:hAnsi="Times New Roman" w:eastAsia="黑体"/>
      <w:kern w:val="21"/>
      <w:szCs w:val="20"/>
    </w:rPr>
  </w:style>
  <w:style w:type="paragraph" w:customStyle="1" w:styleId="270">
    <w:name w:val="附录三级条标题"/>
    <w:basedOn w:val="269"/>
    <w:next w:val="233"/>
    <w:qFormat/>
    <w:uiPriority w:val="0"/>
    <w:pPr>
      <w:outlineLvl w:val="4"/>
    </w:pPr>
  </w:style>
  <w:style w:type="paragraph" w:customStyle="1" w:styleId="271">
    <w:name w:val="附录四级条标题"/>
    <w:basedOn w:val="270"/>
    <w:next w:val="233"/>
    <w:qFormat/>
    <w:uiPriority w:val="0"/>
    <w:pPr>
      <w:outlineLvl w:val="5"/>
    </w:pPr>
  </w:style>
  <w:style w:type="paragraph" w:customStyle="1" w:styleId="272">
    <w:name w:val="附录五级条标题"/>
    <w:basedOn w:val="271"/>
    <w:next w:val="233"/>
    <w:qFormat/>
    <w:uiPriority w:val="0"/>
    <w:pPr>
      <w:outlineLvl w:val="6"/>
    </w:pPr>
  </w:style>
  <w:style w:type="table" w:customStyle="1" w:styleId="273">
    <w:name w:val="清单表 3 - 着色 31"/>
    <w:basedOn w:val="28"/>
    <w:qFormat/>
    <w:uiPriority w:val="48"/>
    <w:pPr>
      <w:spacing w:after="160" w:line="278" w:lineRule="auto"/>
    </w:pPr>
    <w:rPr>
      <w:rFonts w:ascii="Times New Roman" w:hAnsi="Times New Roman"/>
    </w:rPr>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paragraph" w:styleId="274">
    <w:name w:val="No Spacing"/>
    <w:qFormat/>
    <w:uiPriority w:val="1"/>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275">
    <w:name w:val="font11"/>
    <w:qFormat/>
    <w:uiPriority w:val="0"/>
    <w:rPr>
      <w:rFonts w:ascii="Calibri" w:hAnsi="Calibri" w:cs="Calibri"/>
      <w:color w:val="000000"/>
      <w:sz w:val="21"/>
      <w:szCs w:val="21"/>
      <w:u w:val="none"/>
    </w:rPr>
  </w:style>
  <w:style w:type="character" w:customStyle="1" w:styleId="276">
    <w:name w:val="font21"/>
    <w:qFormat/>
    <w:uiPriority w:val="0"/>
    <w:rPr>
      <w:rFonts w:hint="eastAsia" w:ascii="宋体" w:hAnsi="宋体" w:eastAsia="宋体" w:cs="宋体"/>
      <w:color w:val="000000"/>
      <w:sz w:val="21"/>
      <w:szCs w:val="21"/>
      <w:u w:val="none"/>
    </w:rPr>
  </w:style>
  <w:style w:type="character" w:customStyle="1" w:styleId="277">
    <w:name w:val="font61"/>
    <w:basedOn w:val="30"/>
    <w:qFormat/>
    <w:uiPriority w:val="0"/>
    <w:rPr>
      <w:rFonts w:hint="eastAsia" w:ascii="仿宋" w:hAnsi="仿宋" w:eastAsia="仿宋" w:cs="仿宋"/>
      <w:b/>
      <w:bCs/>
      <w:color w:val="000000"/>
      <w:sz w:val="24"/>
      <w:szCs w:val="24"/>
      <w:u w:val="none"/>
    </w:rPr>
  </w:style>
  <w:style w:type="character" w:customStyle="1" w:styleId="278">
    <w:name w:val="font71"/>
    <w:basedOn w:val="30"/>
    <w:qFormat/>
    <w:uiPriority w:val="0"/>
    <w:rPr>
      <w:rFonts w:hint="eastAsia" w:ascii="仿宋" w:hAnsi="仿宋" w:eastAsia="仿宋" w:cs="仿宋"/>
      <w:b/>
      <w:bCs/>
      <w:color w:val="000000"/>
      <w:sz w:val="24"/>
      <w:szCs w:val="24"/>
      <w:u w:val="none"/>
    </w:rPr>
  </w:style>
  <w:style w:type="character" w:customStyle="1" w:styleId="279">
    <w:name w:val="10"/>
    <w:basedOn w:val="30"/>
    <w:qFormat/>
    <w:uiPriority w:val="0"/>
    <w:rPr>
      <w:rFonts w:hint="default" w:ascii="Calibri" w:hAnsi="Calibri" w:cs="Calibri"/>
    </w:rPr>
  </w:style>
  <w:style w:type="character" w:customStyle="1" w:styleId="280">
    <w:name w:val="15"/>
    <w:basedOn w:val="30"/>
    <w:qFormat/>
    <w:uiPriority w:val="0"/>
    <w:rPr>
      <w:rFonts w:hint="default" w:ascii="Calibri" w:hAnsi="Calibri" w:cs="Calibri"/>
    </w:rPr>
  </w:style>
  <w:style w:type="paragraph" w:customStyle="1" w:styleId="281">
    <w:name w:val="修订1"/>
    <w:hidden/>
    <w:unhideWhenUsed/>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paragraph" w:customStyle="1" w:styleId="282">
    <w:name w:val="修订2"/>
    <w:hidden/>
    <w:unhideWhenUsed/>
    <w:qFormat/>
    <w:uiPriority w:val="99"/>
    <w:pPr>
      <w:spacing w:after="160" w:line="278" w:lineRule="auto"/>
    </w:pPr>
    <w:rPr>
      <w:rFonts w:asciiTheme="minorHAnsi" w:hAnsiTheme="minorHAnsi" w:eastAsiaTheme="minorEastAsia" w:cstheme="minorBidi"/>
      <w:kern w:val="2"/>
      <w:sz w:val="21"/>
      <w:szCs w:val="24"/>
      <w:lang w:val="en-US" w:eastAsia="zh-CN" w:bidi="ar-SA"/>
    </w:rPr>
  </w:style>
  <w:style w:type="table" w:customStyle="1" w:styleId="283">
    <w:name w:val="Table Normal11"/>
    <w:basedOn w:val="28"/>
    <w:qFormat/>
    <w:uiPriority w:val="0"/>
    <w:pPr>
      <w:spacing w:after="160" w:line="278" w:lineRule="auto"/>
    </w:pPr>
    <w:rPr>
      <w:rFonts w:ascii="Times New Roman" w:hAnsi="Times New Roman" w:eastAsia="Times New Roman"/>
    </w:rPr>
    <w:tblPr>
      <w:tblCellMar>
        <w:left w:w="0" w:type="dxa"/>
        <w:right w:w="0" w:type="dxa"/>
      </w:tblCellMar>
    </w:tblPr>
  </w:style>
  <w:style w:type="paragraph" w:customStyle="1" w:styleId="284">
    <w:name w:val="附录表标题"/>
    <w:next w:val="233"/>
    <w:qFormat/>
    <w:uiPriority w:val="0"/>
    <w:pPr>
      <w:numPr>
        <w:ilvl w:val="0"/>
        <w:numId w:val="36"/>
      </w:numPr>
      <w:jc w:val="center"/>
      <w:textAlignment w:val="baseline"/>
    </w:pPr>
    <w:rPr>
      <w:rFonts w:ascii="黑体" w:hAnsi="Times New Roman" w:eastAsia="黑体" w:cs="Times New Roman"/>
      <w:kern w:val="21"/>
      <w:sz w:val="21"/>
      <w:lang w:val="en-US" w:eastAsia="zh-CN" w:bidi="ar-SA"/>
    </w:rPr>
  </w:style>
  <w:style w:type="paragraph" w:customStyle="1" w:styleId="285">
    <w:name w:val="Table Text"/>
    <w:basedOn w:val="1"/>
    <w:semiHidden/>
    <w:qFormat/>
    <w:uiPriority w:val="0"/>
    <w:rPr>
      <w:rFonts w:ascii="宋体" w:hAnsi="宋体" w:eastAsia="宋体" w:cs="宋体"/>
      <w:sz w:val="18"/>
      <w:szCs w:val="18"/>
      <w:lang w:val="en-US" w:eastAsia="en-US" w:bidi="ar-SA"/>
    </w:rPr>
  </w:style>
  <w:style w:type="table" w:customStyle="1" w:styleId="286">
    <w:name w:val="Table Normal"/>
    <w:unhideWhenUsed/>
    <w:qFormat/>
    <w:uiPriority w:val="2"/>
    <w:pPr>
      <w:widowControl w:val="0"/>
    </w:pPr>
    <w:rPr>
      <w:sz w:val="22"/>
      <w:lang w:eastAsia="en-US"/>
    </w:rPr>
    <w:tblPr>
      <w:tblCellMar>
        <w:top w:w="0" w:type="dxa"/>
        <w:left w:w="0" w:type="dxa"/>
        <w:bottom w:w="0" w:type="dxa"/>
        <w:right w:w="0" w:type="dxa"/>
      </w:tblCellMar>
    </w:tblPr>
  </w:style>
  <w:style w:type="character" w:customStyle="1" w:styleId="287">
    <w:name w:val="font31"/>
    <w:basedOn w:val="30"/>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4459126D8D84CA8B94AC98F30D2525E"/>
        <w:style w:val=""/>
        <w:category>
          <w:name w:val="常规"/>
          <w:gallery w:val="placeholder"/>
        </w:category>
        <w:types>
          <w:type w:val="bbPlcHdr"/>
        </w:types>
        <w:behaviors>
          <w:behavior w:val="content"/>
        </w:behaviors>
        <w:description w:val=""/>
        <w:guid w:val="{FC144478-91C7-470D-844C-53E3CDFD815B}"/>
      </w:docPartPr>
      <w:docPartBody>
        <w:p w14:paraId="45D5F8B3">
          <w:pPr>
            <w:pStyle w:val="5"/>
          </w:pPr>
          <w:r>
            <w:rPr>
              <w:rStyle w:val="4"/>
              <w:rFonts w:hint="eastAsia"/>
            </w:rPr>
            <w:t>单击或点击此处输入文字。</w:t>
          </w:r>
        </w:p>
      </w:docPartBody>
    </w:docPart>
    <w:docPart>
      <w:docPartPr>
        <w:name w:val="2E899F7D05054616984593DB41FED0D9"/>
        <w:style w:val=""/>
        <w:category>
          <w:name w:val="常规"/>
          <w:gallery w:val="placeholder"/>
        </w:category>
        <w:types>
          <w:type w:val="bbPlcHdr"/>
        </w:types>
        <w:behaviors>
          <w:behavior w:val="content"/>
        </w:behaviors>
        <w:description w:val=""/>
        <w:guid w:val="{E0E9CA3E-763E-410E-844D-8B85B19CFD4B}"/>
      </w:docPartPr>
      <w:docPartBody>
        <w:p w14:paraId="1ABC8DF9">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6C7"/>
    <w:rsid w:val="00CB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4459126D8D84CA8B94AC98F30D2525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F6BB9FCFA00436991F08A3ECA2BF01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E899F7D05054616984593DB41FED0D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17</Pages>
  <Words>9533</Words>
  <Characters>10212</Characters>
  <Lines>1386</Lines>
  <Paragraphs>1247</Paragraphs>
  <TotalTime>0</TotalTime>
  <ScaleCrop>false</ScaleCrop>
  <LinksUpToDate>false</LinksUpToDate>
  <CharactersWithSpaces>10541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2024-10-29T08:46:00Z</dcterms:created>
  <dc:creator>田佳鑫</dc:creator>
  <dc:description>&lt;config cover="true" show_menu="true" version="1.0.0" doctype="SDKXY"&gt;_x000d_
&lt;/config&gt;</dc:description>
  <cp:lastModifiedBy>贺小敏</cp:lastModifiedBy>
  <cp:lastPrinted>2020-08-30T18:00:00Z</cp:lastPrinted>
  <dcterms:modified xsi:type="dcterms:W3CDTF">2025-07-09T08:46:27Z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2052-12.1.0.21915</vt:lpwstr>
  </property>
  <property fmtid="{D5CDD505-2E9C-101B-9397-08002B2CF9AE}" pid="16" name="ICV">
    <vt:lpwstr>BDF3703F8E3D4C709D9CF7AAE178EB46_13</vt:lpwstr>
  </property>
  <property fmtid="{D5CDD505-2E9C-101B-9397-08002B2CF9AE}" pid="17" name="KSOTemplateDocerSaveRecord">
    <vt:lpwstr>eyJoZGlkIjoiMzEwNTM5NzYwMDRjMzkwZTVkZjY2ODkwMGIxNGU0OTUiLCJ1c2VySWQiOiI0MzY5NDM5NTgifQ==</vt:lpwstr>
  </property>
</Properties>
</file>